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FF" w:rsidRDefault="00433FFF" w:rsidP="001E7A86">
      <w:pPr>
        <w:spacing w:before="120"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Sở hữu nước ngoài và rủi ro thanh khoản của các ngân hàng thương mại Việt Nam</w:t>
      </w:r>
      <w:r w:rsidR="0088732B">
        <w:rPr>
          <w:rFonts w:ascii="Times New Roman" w:hAnsi="Times New Roman" w:cs="Times New Roman"/>
          <w:b/>
          <w:sz w:val="24"/>
          <w:szCs w:val="24"/>
        </w:rPr>
        <w:t xml:space="preserve"> </w:t>
      </w:r>
    </w:p>
    <w:p w:rsidR="0088732B" w:rsidRPr="0020301C" w:rsidRDefault="0088732B" w:rsidP="001E7A86">
      <w:pPr>
        <w:spacing w:before="120" w:after="120" w:line="240" w:lineRule="auto"/>
        <w:jc w:val="center"/>
        <w:rPr>
          <w:rFonts w:ascii="Times New Roman" w:hAnsi="Times New Roman" w:cs="Times New Roman"/>
          <w:b/>
          <w:sz w:val="24"/>
          <w:szCs w:val="24"/>
        </w:rPr>
      </w:pPr>
    </w:p>
    <w:p w:rsidR="00433FFF" w:rsidRPr="00B35A3A" w:rsidRDefault="00433FFF" w:rsidP="001E7A86">
      <w:pPr>
        <w:numPr>
          <w:ilvl w:val="0"/>
          <w:numId w:val="12"/>
        </w:numPr>
        <w:spacing w:before="120" w:after="120" w:line="240" w:lineRule="auto"/>
        <w:jc w:val="both"/>
        <w:rPr>
          <w:rFonts w:ascii="Times New Roman" w:hAnsi="Times New Roman"/>
          <w:sz w:val="26"/>
          <w:szCs w:val="24"/>
        </w:rPr>
      </w:pPr>
      <w:r w:rsidRPr="00B35A3A">
        <w:rPr>
          <w:rFonts w:ascii="Times New Roman" w:hAnsi="Times New Roman"/>
          <w:sz w:val="26"/>
          <w:szCs w:val="24"/>
        </w:rPr>
        <w:t>PGS.TS. Võ Xuân Vinh</w:t>
      </w:r>
    </w:p>
    <w:p w:rsidR="00433FFF" w:rsidRPr="009264DD" w:rsidRDefault="00433FFF" w:rsidP="001E7A86">
      <w:pPr>
        <w:spacing w:before="120" w:after="120" w:line="240" w:lineRule="auto"/>
        <w:ind w:firstLine="426"/>
        <w:jc w:val="both"/>
        <w:rPr>
          <w:rFonts w:ascii="Times New Roman" w:hAnsi="Times New Roman"/>
          <w:sz w:val="24"/>
          <w:szCs w:val="24"/>
        </w:rPr>
      </w:pPr>
      <w:r w:rsidRPr="009264DD">
        <w:rPr>
          <w:rFonts w:ascii="Times New Roman" w:hAnsi="Times New Roman"/>
          <w:sz w:val="24"/>
          <w:szCs w:val="24"/>
        </w:rPr>
        <w:t>Đơn vị công tác: Đại học Kinh tế Thành phố Hồ Chí Minh và CFVG TP</w:t>
      </w:r>
      <w:r w:rsidR="0088732B">
        <w:rPr>
          <w:rFonts w:ascii="Times New Roman" w:hAnsi="Times New Roman"/>
          <w:sz w:val="24"/>
          <w:szCs w:val="24"/>
        </w:rPr>
        <w:t>.</w:t>
      </w:r>
      <w:r w:rsidRPr="009264DD">
        <w:rPr>
          <w:rFonts w:ascii="Times New Roman" w:hAnsi="Times New Roman"/>
          <w:sz w:val="24"/>
          <w:szCs w:val="24"/>
        </w:rPr>
        <w:t xml:space="preserve"> Hồ Chí Minh</w:t>
      </w:r>
    </w:p>
    <w:p w:rsidR="00433FFF" w:rsidRPr="009264DD" w:rsidRDefault="00433FFF" w:rsidP="001E7A86">
      <w:pPr>
        <w:spacing w:before="120" w:after="120" w:line="240" w:lineRule="auto"/>
        <w:ind w:firstLine="426"/>
        <w:jc w:val="both"/>
        <w:rPr>
          <w:rFonts w:ascii="Times New Roman" w:hAnsi="Times New Roman"/>
          <w:sz w:val="24"/>
          <w:szCs w:val="24"/>
        </w:rPr>
      </w:pPr>
      <w:r w:rsidRPr="009264DD">
        <w:rPr>
          <w:rFonts w:ascii="Times New Roman" w:hAnsi="Times New Roman"/>
          <w:sz w:val="24"/>
          <w:szCs w:val="24"/>
        </w:rPr>
        <w:t>Địa chỉ (đơn vị công tác): 91 Đường Ba Tháng Hai, Quận 10, TP HCM</w:t>
      </w:r>
    </w:p>
    <w:p w:rsidR="00433FFF" w:rsidRPr="009264DD" w:rsidRDefault="00433FFF" w:rsidP="001E7A86">
      <w:pPr>
        <w:spacing w:before="120" w:after="120" w:line="240" w:lineRule="auto"/>
        <w:ind w:firstLine="426"/>
        <w:jc w:val="both"/>
        <w:rPr>
          <w:rFonts w:ascii="Times New Roman" w:hAnsi="Times New Roman"/>
          <w:sz w:val="24"/>
          <w:szCs w:val="24"/>
        </w:rPr>
      </w:pPr>
      <w:r w:rsidRPr="009264DD">
        <w:rPr>
          <w:rFonts w:ascii="Times New Roman" w:hAnsi="Times New Roman"/>
          <w:sz w:val="24"/>
          <w:szCs w:val="24"/>
        </w:rPr>
        <w:t>Email: vinhvx@ueh.edu.vn</w:t>
      </w:r>
    </w:p>
    <w:p w:rsidR="00433FFF" w:rsidRPr="00B35A3A" w:rsidRDefault="00433FFF" w:rsidP="001E7A86">
      <w:pPr>
        <w:numPr>
          <w:ilvl w:val="0"/>
          <w:numId w:val="12"/>
        </w:numPr>
        <w:spacing w:before="120" w:after="120" w:line="240" w:lineRule="auto"/>
        <w:jc w:val="both"/>
        <w:rPr>
          <w:rFonts w:ascii="Times New Roman" w:hAnsi="Times New Roman"/>
          <w:sz w:val="26"/>
          <w:szCs w:val="24"/>
        </w:rPr>
      </w:pPr>
      <w:r>
        <w:rPr>
          <w:rFonts w:ascii="Times New Roman" w:hAnsi="Times New Roman"/>
          <w:sz w:val="26"/>
          <w:szCs w:val="24"/>
        </w:rPr>
        <w:t xml:space="preserve">Ths. </w:t>
      </w:r>
      <w:r w:rsidRPr="00B35A3A">
        <w:rPr>
          <w:rFonts w:ascii="Times New Roman" w:hAnsi="Times New Roman"/>
          <w:sz w:val="26"/>
          <w:szCs w:val="24"/>
        </w:rPr>
        <w:t>Mai Xuân Đức</w:t>
      </w:r>
    </w:p>
    <w:p w:rsidR="00433FFF" w:rsidRPr="009264DD" w:rsidRDefault="00433FFF" w:rsidP="001E7A86">
      <w:pPr>
        <w:spacing w:before="120" w:after="120" w:line="240" w:lineRule="auto"/>
        <w:ind w:left="360"/>
        <w:jc w:val="both"/>
        <w:rPr>
          <w:rFonts w:ascii="Times New Roman" w:hAnsi="Times New Roman"/>
          <w:sz w:val="24"/>
          <w:szCs w:val="24"/>
        </w:rPr>
      </w:pPr>
      <w:r w:rsidRPr="009264DD">
        <w:rPr>
          <w:rFonts w:ascii="Times New Roman" w:hAnsi="Times New Roman"/>
          <w:sz w:val="24"/>
          <w:szCs w:val="24"/>
        </w:rPr>
        <w:t>Đơn vị công tác: Ngân hàng nhà nước Việt Nam, Chi nhánh TP HCM</w:t>
      </w:r>
    </w:p>
    <w:p w:rsidR="00433FFF" w:rsidRPr="009264DD" w:rsidRDefault="00433FFF" w:rsidP="001E7A86">
      <w:pPr>
        <w:spacing w:before="120" w:after="120" w:line="240" w:lineRule="auto"/>
        <w:ind w:left="360"/>
        <w:jc w:val="both"/>
        <w:rPr>
          <w:rFonts w:ascii="Times New Roman" w:hAnsi="Times New Roman"/>
          <w:sz w:val="24"/>
          <w:szCs w:val="24"/>
        </w:rPr>
      </w:pPr>
      <w:r w:rsidRPr="009264DD">
        <w:rPr>
          <w:rFonts w:ascii="Times New Roman" w:hAnsi="Times New Roman"/>
          <w:sz w:val="24"/>
          <w:szCs w:val="24"/>
        </w:rPr>
        <w:t xml:space="preserve">Địa chỉ: </w:t>
      </w:r>
      <w:r w:rsidRPr="009264DD">
        <w:rPr>
          <w:rFonts w:ascii="Times New Roman" w:hAnsi="Times New Roman"/>
          <w:color w:val="000000"/>
          <w:sz w:val="24"/>
          <w:szCs w:val="24"/>
        </w:rPr>
        <w:t>08 Võ Văn Kiệt, Quận 1, Tp. Hồ Chí Minh</w:t>
      </w:r>
    </w:p>
    <w:p w:rsidR="00433FFF" w:rsidRPr="009264DD" w:rsidRDefault="00433FFF" w:rsidP="001E7A86">
      <w:pPr>
        <w:spacing w:before="120" w:after="120" w:line="240" w:lineRule="auto"/>
        <w:ind w:left="360"/>
        <w:jc w:val="both"/>
        <w:rPr>
          <w:rFonts w:ascii="Times New Roman" w:hAnsi="Times New Roman"/>
          <w:sz w:val="24"/>
          <w:szCs w:val="24"/>
        </w:rPr>
      </w:pPr>
      <w:r w:rsidRPr="009264DD">
        <w:rPr>
          <w:rFonts w:ascii="Times New Roman" w:hAnsi="Times New Roman"/>
          <w:sz w:val="24"/>
          <w:szCs w:val="24"/>
        </w:rPr>
        <w:t xml:space="preserve">Email: </w:t>
      </w:r>
      <w:hyperlink r:id="rId9" w:history="1">
        <w:r w:rsidRPr="009264DD">
          <w:rPr>
            <w:rStyle w:val="Hyperlink"/>
            <w:rFonts w:ascii="Times New Roman" w:hAnsi="Times New Roman"/>
            <w:sz w:val="24"/>
            <w:szCs w:val="24"/>
          </w:rPr>
          <w:t>xuanducsbvhcm@gmail.com</w:t>
        </w:r>
      </w:hyperlink>
    </w:p>
    <w:p w:rsidR="00433FFF" w:rsidRDefault="00433FFF">
      <w:pPr>
        <w:rPr>
          <w:rFonts w:ascii="Times New Roman" w:hAnsi="Times New Roman"/>
          <w:b/>
          <w:sz w:val="24"/>
          <w:szCs w:val="24"/>
        </w:rPr>
      </w:pPr>
      <w:r>
        <w:rPr>
          <w:rFonts w:ascii="Times New Roman" w:hAnsi="Times New Roman"/>
          <w:b/>
          <w:sz w:val="24"/>
          <w:szCs w:val="24"/>
        </w:rPr>
        <w:br w:type="page"/>
      </w:r>
    </w:p>
    <w:p w:rsidR="00433FFF" w:rsidRPr="0020301C" w:rsidRDefault="00433FFF" w:rsidP="001E7A86">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Sở hữu nước ngoài và rủi ro thanh khoản của các ngân hàng thương mại Việt Nam</w:t>
      </w:r>
    </w:p>
    <w:p w:rsidR="00433FFF" w:rsidRDefault="00433FFF" w:rsidP="001E7A86">
      <w:pPr>
        <w:spacing w:before="120" w:after="120" w:line="240" w:lineRule="auto"/>
        <w:ind w:left="360"/>
        <w:jc w:val="center"/>
        <w:rPr>
          <w:rFonts w:ascii="Times New Roman" w:hAnsi="Times New Roman"/>
          <w:b/>
          <w:sz w:val="24"/>
          <w:szCs w:val="24"/>
        </w:rPr>
      </w:pPr>
    </w:p>
    <w:p w:rsidR="00433FFF" w:rsidRPr="009264DD" w:rsidRDefault="00433FFF" w:rsidP="001E7A86">
      <w:pPr>
        <w:spacing w:before="120" w:after="120" w:line="240" w:lineRule="auto"/>
        <w:ind w:left="360"/>
        <w:jc w:val="center"/>
        <w:rPr>
          <w:rFonts w:ascii="Times New Roman" w:hAnsi="Times New Roman"/>
          <w:b/>
          <w:sz w:val="24"/>
          <w:szCs w:val="24"/>
        </w:rPr>
      </w:pPr>
      <w:r w:rsidRPr="009264DD">
        <w:rPr>
          <w:rFonts w:ascii="Times New Roman" w:hAnsi="Times New Roman"/>
          <w:b/>
          <w:sz w:val="24"/>
          <w:szCs w:val="24"/>
        </w:rPr>
        <w:t>Tóm tắt</w:t>
      </w:r>
    </w:p>
    <w:p w:rsidR="00433FFF" w:rsidRPr="009264DD"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sz w:val="24"/>
          <w:szCs w:val="24"/>
        </w:rPr>
        <w:t xml:space="preserve">Bài báo này nghiên cứu ảnh hưởng của </w:t>
      </w:r>
      <w:r>
        <w:rPr>
          <w:rFonts w:ascii="Times New Roman" w:eastAsia="Times New Roman" w:hAnsi="Times New Roman"/>
          <w:sz w:val="24"/>
          <w:szCs w:val="24"/>
        </w:rPr>
        <w:t>sở hữu</w:t>
      </w:r>
      <w:r w:rsidRPr="009264DD">
        <w:rPr>
          <w:rFonts w:ascii="Times New Roman" w:eastAsia="Times New Roman" w:hAnsi="Times New Roman"/>
          <w:sz w:val="24"/>
          <w:szCs w:val="24"/>
        </w:rPr>
        <w:t xml:space="preserve"> nước ngoài </w:t>
      </w:r>
      <w:r w:rsidRPr="009264DD">
        <w:rPr>
          <w:rFonts w:ascii="Times New Roman" w:hAnsi="Times New Roman"/>
          <w:sz w:val="24"/>
          <w:szCs w:val="24"/>
        </w:rPr>
        <w:t xml:space="preserve">đến thanh khoản của </w:t>
      </w:r>
      <w:r>
        <w:rPr>
          <w:rFonts w:ascii="Times New Roman" w:hAnsi="Times New Roman"/>
          <w:sz w:val="24"/>
          <w:szCs w:val="24"/>
        </w:rPr>
        <w:t>các</w:t>
      </w:r>
      <w:r w:rsidRPr="009264DD">
        <w:rPr>
          <w:rFonts w:ascii="Times New Roman" w:hAnsi="Times New Roman"/>
          <w:sz w:val="24"/>
          <w:szCs w:val="24"/>
        </w:rPr>
        <w:t xml:space="preserve"> ngân hàng thương mại (NHTM) Việ</w:t>
      </w:r>
      <w:r>
        <w:rPr>
          <w:rFonts w:ascii="Times New Roman" w:hAnsi="Times New Roman"/>
          <w:sz w:val="24"/>
          <w:szCs w:val="24"/>
        </w:rPr>
        <w:t>t Nam trong giai đoạn 2009-2015</w:t>
      </w:r>
      <w:r w:rsidRPr="009264DD">
        <w:rPr>
          <w:rFonts w:ascii="Times New Roman" w:hAnsi="Times New Roman"/>
          <w:sz w:val="24"/>
          <w:szCs w:val="24"/>
        </w:rPr>
        <w:t xml:space="preserve">. </w:t>
      </w:r>
      <w:r>
        <w:rPr>
          <w:rFonts w:ascii="Times New Roman" w:hAnsi="Times New Roman"/>
          <w:sz w:val="24"/>
          <w:szCs w:val="24"/>
        </w:rPr>
        <w:t>Bài báo s</w:t>
      </w:r>
      <w:r w:rsidRPr="009264DD">
        <w:rPr>
          <w:rFonts w:ascii="Times New Roman" w:hAnsi="Times New Roman"/>
          <w:sz w:val="24"/>
          <w:szCs w:val="24"/>
        </w:rPr>
        <w:t>ử dụng các phương pháp hồi quy cho dữ liệu bả</w:t>
      </w:r>
      <w:r>
        <w:rPr>
          <w:rFonts w:ascii="Times New Roman" w:hAnsi="Times New Roman"/>
          <w:sz w:val="24"/>
          <w:szCs w:val="24"/>
        </w:rPr>
        <w:t xml:space="preserve">ng với mẫu dữ liệu bao gồm 35 ngân hàng thương mại Việt Nam. Kết quả cho thấy, sở hữu nước ngoài càng cao thì rủi ro thanh khoản của ngân hàng càng thấp và ngược lại. Bên cạnh đó, rủi ro tín dụng và rủi ro thanh khoản năm trước có quan hệ cùng chiều với rủi ro thanh khoản của ngân hàng trong năm hiện tại. Kết quả của nghiên cứu có hàm ý quan trọng trong việc cung cấp thêm bằng chứng thực nghiệm chứng minh vai trò của cổ đông nước ngoài trong việc quản trị rủi ro thanh khoản và các hoạt động khác ở các ngân hàng thương mại Việt Nam. </w:t>
      </w:r>
    </w:p>
    <w:p w:rsidR="00433FFF" w:rsidRDefault="00433FFF" w:rsidP="00C6587C">
      <w:pPr>
        <w:spacing w:before="120" w:after="120" w:line="240" w:lineRule="auto"/>
        <w:ind w:firstLine="720"/>
        <w:rPr>
          <w:rFonts w:ascii="Times New Roman" w:hAnsi="Times New Roman" w:cs="Times New Roman"/>
          <w:sz w:val="24"/>
          <w:szCs w:val="24"/>
        </w:rPr>
      </w:pPr>
      <w:r w:rsidRPr="009264DD">
        <w:rPr>
          <w:rFonts w:ascii="Times New Roman" w:hAnsi="Times New Roman" w:cs="Times New Roman"/>
          <w:b/>
          <w:sz w:val="24"/>
          <w:szCs w:val="24"/>
        </w:rPr>
        <w:t>Từ khóa:</w:t>
      </w:r>
      <w:r w:rsidRPr="009264DD">
        <w:rPr>
          <w:rFonts w:ascii="Times New Roman" w:hAnsi="Times New Roman" w:cs="Times New Roman"/>
          <w:sz w:val="24"/>
          <w:szCs w:val="24"/>
        </w:rPr>
        <w:t xml:space="preserve"> </w:t>
      </w:r>
      <w:r>
        <w:rPr>
          <w:rFonts w:ascii="Times New Roman" w:hAnsi="Times New Roman" w:cs="Times New Roman"/>
          <w:sz w:val="24"/>
          <w:szCs w:val="24"/>
        </w:rPr>
        <w:t>n</w:t>
      </w:r>
      <w:r w:rsidRPr="009264DD">
        <w:rPr>
          <w:rFonts w:ascii="Times New Roman" w:hAnsi="Times New Roman" w:cs="Times New Roman"/>
          <w:sz w:val="24"/>
          <w:szCs w:val="24"/>
        </w:rPr>
        <w:t>gân hàng thương mại</w:t>
      </w:r>
      <w:r>
        <w:rPr>
          <w:rFonts w:ascii="Times New Roman" w:hAnsi="Times New Roman" w:cs="Times New Roman"/>
          <w:sz w:val="24"/>
          <w:szCs w:val="24"/>
        </w:rPr>
        <w:t>, t</w:t>
      </w:r>
      <w:r w:rsidRPr="009264DD">
        <w:rPr>
          <w:rFonts w:ascii="Times New Roman" w:hAnsi="Times New Roman" w:cs="Times New Roman"/>
          <w:sz w:val="24"/>
          <w:szCs w:val="24"/>
        </w:rPr>
        <w:t>hanh khoản,</w:t>
      </w:r>
      <w:r>
        <w:rPr>
          <w:rFonts w:ascii="Times New Roman" w:hAnsi="Times New Roman" w:cs="Times New Roman"/>
          <w:sz w:val="24"/>
          <w:szCs w:val="24"/>
        </w:rPr>
        <w:t xml:space="preserve"> rủi ro thanh khoản, s</w:t>
      </w:r>
      <w:r w:rsidRPr="009264DD">
        <w:rPr>
          <w:rFonts w:ascii="Times New Roman" w:hAnsi="Times New Roman" w:cs="Times New Roman"/>
          <w:sz w:val="24"/>
          <w:szCs w:val="24"/>
        </w:rPr>
        <w:t>ở hữu nướ</w:t>
      </w:r>
      <w:r>
        <w:rPr>
          <w:rFonts w:ascii="Times New Roman" w:hAnsi="Times New Roman" w:cs="Times New Roman"/>
          <w:sz w:val="24"/>
          <w:szCs w:val="24"/>
        </w:rPr>
        <w:t>c ngoài</w:t>
      </w:r>
      <w:r w:rsidRPr="009264DD">
        <w:rPr>
          <w:rFonts w:ascii="Times New Roman" w:hAnsi="Times New Roman" w:cs="Times New Roman"/>
          <w:sz w:val="24"/>
          <w:szCs w:val="24"/>
        </w:rPr>
        <w:t>.</w:t>
      </w:r>
    </w:p>
    <w:p w:rsidR="00433FFF" w:rsidRPr="009264DD" w:rsidRDefault="00433FFF" w:rsidP="001E7A86">
      <w:pPr>
        <w:spacing w:before="120" w:after="120" w:line="240" w:lineRule="auto"/>
        <w:rPr>
          <w:rFonts w:ascii="Times New Roman" w:hAnsi="Times New Roman" w:cs="Times New Roman"/>
          <w:sz w:val="24"/>
          <w:szCs w:val="24"/>
        </w:rPr>
      </w:pPr>
    </w:p>
    <w:p w:rsidR="00433FFF" w:rsidRPr="009B263E" w:rsidRDefault="00433FFF" w:rsidP="00C6587C">
      <w:pPr>
        <w:spacing w:before="120" w:after="120" w:line="240" w:lineRule="auto"/>
        <w:jc w:val="center"/>
        <w:rPr>
          <w:rFonts w:ascii="Times New Roman" w:hAnsi="Times New Roman"/>
          <w:b/>
          <w:sz w:val="24"/>
          <w:szCs w:val="24"/>
        </w:rPr>
      </w:pPr>
      <w:r w:rsidRPr="009264DD">
        <w:rPr>
          <w:rFonts w:ascii="Times New Roman" w:hAnsi="Times New Roman"/>
          <w:b/>
          <w:sz w:val="24"/>
          <w:szCs w:val="24"/>
        </w:rPr>
        <w:t>Foreign ownership and liquidity risk of commercial banks in Vietnam</w:t>
      </w:r>
    </w:p>
    <w:p w:rsidR="00433FFF" w:rsidRPr="009264DD" w:rsidRDefault="00433FFF" w:rsidP="001E7A86">
      <w:pPr>
        <w:spacing w:before="120" w:after="120" w:line="240" w:lineRule="auto"/>
        <w:ind w:left="360"/>
        <w:jc w:val="center"/>
        <w:rPr>
          <w:rFonts w:ascii="Times New Roman" w:hAnsi="Times New Roman"/>
          <w:b/>
          <w:sz w:val="24"/>
          <w:szCs w:val="24"/>
        </w:rPr>
      </w:pPr>
      <w:r w:rsidRPr="009264DD">
        <w:rPr>
          <w:rFonts w:ascii="Times New Roman" w:hAnsi="Times New Roman"/>
          <w:b/>
          <w:sz w:val="24"/>
          <w:szCs w:val="24"/>
        </w:rPr>
        <w:t>Abstract</w:t>
      </w:r>
    </w:p>
    <w:p w:rsidR="00433FFF" w:rsidRPr="002B60E4" w:rsidRDefault="00433FFF" w:rsidP="001E7A86">
      <w:pPr>
        <w:tabs>
          <w:tab w:val="left" w:pos="567"/>
        </w:tabs>
        <w:spacing w:before="120" w:after="120" w:line="240" w:lineRule="auto"/>
        <w:jc w:val="both"/>
        <w:rPr>
          <w:rFonts w:ascii="Times New Roman" w:eastAsia="Times New Roman" w:hAnsi="Times New Roman"/>
          <w:color w:val="000000"/>
          <w:sz w:val="24"/>
          <w:szCs w:val="24"/>
        </w:rPr>
      </w:pPr>
      <w:r w:rsidRPr="009264DD">
        <w:rPr>
          <w:rFonts w:ascii="Times New Roman" w:eastAsia="Times New Roman" w:hAnsi="Times New Roman"/>
          <w:color w:val="000000"/>
          <w:sz w:val="24"/>
          <w:szCs w:val="24"/>
        </w:rPr>
        <w:tab/>
        <w:t xml:space="preserve">This paper investigates the impact of </w:t>
      </w:r>
      <w:r>
        <w:rPr>
          <w:rFonts w:ascii="Times New Roman" w:hAnsi="Times New Roman"/>
          <w:sz w:val="24"/>
          <w:szCs w:val="24"/>
        </w:rPr>
        <w:t>f</w:t>
      </w:r>
      <w:r w:rsidRPr="009264DD">
        <w:rPr>
          <w:rFonts w:ascii="Times New Roman" w:hAnsi="Times New Roman"/>
          <w:sz w:val="24"/>
          <w:szCs w:val="24"/>
        </w:rPr>
        <w:t>oreign ownership</w:t>
      </w:r>
      <w:r w:rsidRPr="009264DD">
        <w:rPr>
          <w:rFonts w:ascii="Times New Roman" w:eastAsia="Times New Roman" w:hAnsi="Times New Roman"/>
          <w:color w:val="000000"/>
          <w:sz w:val="24"/>
          <w:szCs w:val="24"/>
        </w:rPr>
        <w:t xml:space="preserve"> on liquidity risk of commercial banks in </w:t>
      </w:r>
      <w:r w:rsidRPr="00DB5B58">
        <w:rPr>
          <w:rFonts w:ascii="Times New Roman" w:eastAsia="Times New Roman" w:hAnsi="Times New Roman"/>
          <w:color w:val="000000"/>
          <w:sz w:val="24"/>
          <w:szCs w:val="24"/>
        </w:rPr>
        <w:t>Vietnam</w:t>
      </w:r>
      <w:r>
        <w:rPr>
          <w:rFonts w:ascii="Times New Roman" w:eastAsia="Times New Roman" w:hAnsi="Times New Roman"/>
          <w:color w:val="000000"/>
          <w:sz w:val="24"/>
          <w:szCs w:val="24"/>
        </w:rPr>
        <w:t xml:space="preserve"> </w:t>
      </w:r>
      <w:r w:rsidRPr="009264DD">
        <w:rPr>
          <w:rFonts w:ascii="Times New Roman" w:eastAsia="Times New Roman" w:hAnsi="Times New Roman"/>
          <w:color w:val="000000"/>
          <w:sz w:val="24"/>
          <w:szCs w:val="24"/>
        </w:rPr>
        <w:t xml:space="preserve">for the period from 2009 to 2015. </w:t>
      </w:r>
      <w:r>
        <w:rPr>
          <w:rFonts w:ascii="Times New Roman" w:eastAsia="Times New Roman" w:hAnsi="Times New Roman"/>
          <w:color w:val="000000"/>
          <w:sz w:val="24"/>
          <w:szCs w:val="24"/>
        </w:rPr>
        <w:t xml:space="preserve">The </w:t>
      </w:r>
      <w:r w:rsidRPr="009264DD">
        <w:rPr>
          <w:rFonts w:ascii="Times New Roman" w:eastAsia="Times New Roman" w:hAnsi="Times New Roman"/>
          <w:color w:val="000000"/>
          <w:sz w:val="24"/>
          <w:szCs w:val="24"/>
        </w:rPr>
        <w:t>panel data regression analysis</w:t>
      </w:r>
      <w:r>
        <w:rPr>
          <w:rFonts w:ascii="Times New Roman" w:eastAsia="Times New Roman" w:hAnsi="Times New Roman"/>
          <w:color w:val="000000"/>
          <w:sz w:val="24"/>
          <w:szCs w:val="24"/>
        </w:rPr>
        <w:t xml:space="preserve"> is used in the paper. T</w:t>
      </w:r>
      <w:r w:rsidRPr="009264DD">
        <w:rPr>
          <w:rFonts w:ascii="Times New Roman" w:eastAsia="Times New Roman" w:hAnsi="Times New Roman"/>
          <w:color w:val="000000"/>
          <w:sz w:val="24"/>
          <w:szCs w:val="24"/>
        </w:rPr>
        <w:t>he results show that</w:t>
      </w:r>
      <w:r>
        <w:rPr>
          <w:rFonts w:ascii="Times New Roman" w:eastAsia="Times New Roman" w:hAnsi="Times New Roman"/>
          <w:color w:val="000000"/>
          <w:sz w:val="24"/>
          <w:szCs w:val="24"/>
        </w:rPr>
        <w:t xml:space="preserve"> </w:t>
      </w:r>
      <w:r w:rsidRPr="002B60E4">
        <w:rPr>
          <w:rFonts w:ascii="Times New Roman" w:eastAsia="Times New Roman" w:hAnsi="Times New Roman" w:cs="Times New Roman"/>
          <w:color w:val="000000"/>
          <w:sz w:val="24"/>
          <w:szCs w:val="24"/>
        </w:rPr>
        <w:t>higher foreign ownership</w:t>
      </w:r>
      <w:r>
        <w:rPr>
          <w:rFonts w:ascii="Times New Roman" w:eastAsia="Times New Roman" w:hAnsi="Times New Roman" w:cs="Times New Roman"/>
          <w:color w:val="000000"/>
          <w:sz w:val="24"/>
          <w:szCs w:val="24"/>
        </w:rPr>
        <w:t xml:space="preserve"> is associated with lower</w:t>
      </w:r>
      <w:r w:rsidRPr="002B60E4">
        <w:rPr>
          <w:rFonts w:ascii="Times New Roman" w:eastAsia="Times New Roman" w:hAnsi="Times New Roman" w:cs="Times New Roman"/>
          <w:color w:val="000000"/>
          <w:sz w:val="24"/>
          <w:szCs w:val="24"/>
        </w:rPr>
        <w:t xml:space="preserve"> liquidity risk of banks</w:t>
      </w:r>
      <w:r>
        <w:rPr>
          <w:rFonts w:ascii="Times New Roman" w:eastAsia="Times New Roman" w:hAnsi="Times New Roman" w:cs="Times New Roman"/>
          <w:color w:val="000000"/>
          <w:sz w:val="24"/>
          <w:szCs w:val="24"/>
        </w:rPr>
        <w:t xml:space="preserve">. </w:t>
      </w:r>
      <w:r w:rsidRPr="002B60E4">
        <w:rPr>
          <w:rFonts w:ascii="Times New Roman" w:eastAsia="Times New Roman" w:hAnsi="Times New Roman" w:cs="Times New Roman"/>
          <w:color w:val="000000"/>
          <w:sz w:val="24"/>
          <w:szCs w:val="24"/>
        </w:rPr>
        <w:t xml:space="preserve">In addition, </w:t>
      </w:r>
      <w:r>
        <w:rPr>
          <w:rFonts w:ascii="Times New Roman" w:eastAsia="Times New Roman" w:hAnsi="Times New Roman" w:cs="Times New Roman"/>
          <w:color w:val="000000"/>
          <w:sz w:val="24"/>
          <w:szCs w:val="24"/>
        </w:rPr>
        <w:t xml:space="preserve">lags of </w:t>
      </w:r>
      <w:r w:rsidRPr="002B60E4">
        <w:rPr>
          <w:rFonts w:ascii="Times New Roman" w:eastAsia="Times New Roman" w:hAnsi="Times New Roman" w:cs="Times New Roman"/>
          <w:color w:val="000000"/>
          <w:sz w:val="24"/>
          <w:szCs w:val="24"/>
        </w:rPr>
        <w:t>credit</w:t>
      </w:r>
      <w:r>
        <w:rPr>
          <w:rFonts w:ascii="Times New Roman" w:eastAsia="Times New Roman" w:hAnsi="Times New Roman" w:cs="Times New Roman"/>
          <w:color w:val="000000"/>
          <w:sz w:val="24"/>
          <w:szCs w:val="24"/>
        </w:rPr>
        <w:t xml:space="preserve"> risk and liquidity risk have a strong</w:t>
      </w:r>
      <w:r w:rsidRPr="002B60E4">
        <w:rPr>
          <w:rFonts w:ascii="Times New Roman" w:eastAsia="Times New Roman" w:hAnsi="Times New Roman" w:cs="Times New Roman"/>
          <w:color w:val="000000"/>
          <w:sz w:val="24"/>
          <w:szCs w:val="24"/>
        </w:rPr>
        <w:t xml:space="preserve"> impact </w:t>
      </w:r>
      <w:r>
        <w:rPr>
          <w:rFonts w:ascii="Times New Roman" w:eastAsia="Times New Roman" w:hAnsi="Times New Roman" w:cs="Times New Roman"/>
          <w:color w:val="000000"/>
          <w:sz w:val="24"/>
          <w:szCs w:val="24"/>
        </w:rPr>
        <w:t>on</w:t>
      </w:r>
      <w:r w:rsidRPr="002B60E4">
        <w:rPr>
          <w:rFonts w:ascii="Times New Roman" w:eastAsia="Times New Roman" w:hAnsi="Times New Roman" w:cs="Times New Roman"/>
          <w:color w:val="000000"/>
          <w:sz w:val="24"/>
          <w:szCs w:val="24"/>
        </w:rPr>
        <w:t xml:space="preserve"> liquidity risk. The results of the study </w:t>
      </w:r>
      <w:r>
        <w:rPr>
          <w:rFonts w:ascii="Times New Roman" w:eastAsia="Times New Roman" w:hAnsi="Times New Roman" w:cs="Times New Roman"/>
          <w:color w:val="000000"/>
          <w:sz w:val="24"/>
          <w:szCs w:val="24"/>
        </w:rPr>
        <w:t>provide</w:t>
      </w:r>
      <w:r w:rsidRPr="002B60E4">
        <w:rPr>
          <w:rFonts w:ascii="Times New Roman" w:eastAsia="Times New Roman" w:hAnsi="Times New Roman" w:cs="Times New Roman"/>
          <w:color w:val="000000"/>
          <w:sz w:val="24"/>
          <w:szCs w:val="24"/>
        </w:rPr>
        <w:t xml:space="preserve"> empirical evidence to </w:t>
      </w:r>
      <w:r>
        <w:rPr>
          <w:rFonts w:ascii="Times New Roman" w:eastAsia="Times New Roman" w:hAnsi="Times New Roman" w:cs="Times New Roman"/>
          <w:color w:val="000000"/>
          <w:sz w:val="24"/>
          <w:szCs w:val="24"/>
        </w:rPr>
        <w:t>support the important</w:t>
      </w:r>
      <w:r w:rsidRPr="002B60E4">
        <w:rPr>
          <w:rFonts w:ascii="Times New Roman" w:eastAsia="Times New Roman" w:hAnsi="Times New Roman" w:cs="Times New Roman"/>
          <w:color w:val="000000"/>
          <w:sz w:val="24"/>
          <w:szCs w:val="24"/>
        </w:rPr>
        <w:t xml:space="preserve"> role of </w:t>
      </w:r>
      <w:r>
        <w:rPr>
          <w:rFonts w:ascii="Times New Roman" w:hAnsi="Times New Roman"/>
          <w:sz w:val="24"/>
          <w:szCs w:val="24"/>
        </w:rPr>
        <w:t>f</w:t>
      </w:r>
      <w:r w:rsidRPr="009264DD">
        <w:rPr>
          <w:rFonts w:ascii="Times New Roman" w:hAnsi="Times New Roman"/>
          <w:sz w:val="24"/>
          <w:szCs w:val="24"/>
        </w:rPr>
        <w:t>oreign ownership</w:t>
      </w:r>
      <w:r w:rsidRPr="002B60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w:t>
      </w:r>
      <w:r w:rsidRPr="002B60E4">
        <w:rPr>
          <w:rFonts w:ascii="Times New Roman" w:eastAsia="Times New Roman" w:hAnsi="Times New Roman" w:cs="Times New Roman"/>
          <w:color w:val="000000"/>
          <w:sz w:val="24"/>
          <w:szCs w:val="24"/>
        </w:rPr>
        <w:t>liquidity</w:t>
      </w:r>
      <w:r>
        <w:rPr>
          <w:rFonts w:ascii="Times New Roman" w:eastAsia="Times New Roman" w:hAnsi="Times New Roman" w:cs="Times New Roman"/>
          <w:color w:val="000000"/>
          <w:sz w:val="24"/>
          <w:szCs w:val="24"/>
        </w:rPr>
        <w:t xml:space="preserve"> management </w:t>
      </w:r>
      <w:r w:rsidRPr="002B60E4">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other </w:t>
      </w:r>
      <w:r w:rsidRPr="002B60E4">
        <w:rPr>
          <w:rFonts w:ascii="Times New Roman" w:eastAsia="Times New Roman" w:hAnsi="Times New Roman" w:cs="Times New Roman"/>
          <w:color w:val="000000"/>
          <w:sz w:val="24"/>
          <w:szCs w:val="24"/>
        </w:rPr>
        <w:t>operation</w:t>
      </w:r>
      <w:r>
        <w:rPr>
          <w:rFonts w:ascii="Times New Roman" w:eastAsia="Times New Roman" w:hAnsi="Times New Roman" w:cs="Times New Roman"/>
          <w:color w:val="000000"/>
          <w:sz w:val="24"/>
          <w:szCs w:val="24"/>
        </w:rPr>
        <w:t>s</w:t>
      </w:r>
      <w:r w:rsidRPr="002B60E4">
        <w:rPr>
          <w:rFonts w:ascii="Times New Roman" w:eastAsia="Times New Roman" w:hAnsi="Times New Roman" w:cs="Times New Roman"/>
          <w:color w:val="000000"/>
          <w:sz w:val="24"/>
          <w:szCs w:val="24"/>
        </w:rPr>
        <w:t xml:space="preserve"> of commercial banks in Vietnam.</w:t>
      </w:r>
    </w:p>
    <w:p w:rsidR="00433FFF" w:rsidRDefault="00433FFF" w:rsidP="009F2E72">
      <w:pPr>
        <w:spacing w:before="120" w:after="120" w:line="240" w:lineRule="auto"/>
        <w:ind w:firstLine="720"/>
        <w:jc w:val="both"/>
        <w:rPr>
          <w:rFonts w:ascii="Helvetica" w:eastAsia="Times New Roman" w:hAnsi="Helvetica" w:cs="Helvetica"/>
          <w:color w:val="000000"/>
          <w:sz w:val="24"/>
          <w:szCs w:val="24"/>
        </w:rPr>
      </w:pPr>
      <w:r w:rsidRPr="009F2E72">
        <w:rPr>
          <w:rFonts w:ascii="Times New Roman" w:eastAsia="Times New Roman" w:hAnsi="Times New Roman"/>
          <w:b/>
          <w:color w:val="000000"/>
          <w:sz w:val="24"/>
          <w:szCs w:val="24"/>
        </w:rPr>
        <w:t>Keywords:</w:t>
      </w:r>
      <w:r w:rsidRPr="009264DD">
        <w:rPr>
          <w:rFonts w:ascii="Times New Roman" w:hAnsi="Times New Roman"/>
          <w:b/>
          <w:sz w:val="24"/>
          <w:szCs w:val="24"/>
        </w:rPr>
        <w:t xml:space="preserve"> </w:t>
      </w:r>
      <w:r>
        <w:rPr>
          <w:rFonts w:ascii="Times New Roman" w:eastAsia="Times New Roman" w:hAnsi="Times New Roman" w:cs="Times New Roman"/>
          <w:color w:val="000000"/>
          <w:sz w:val="24"/>
          <w:szCs w:val="24"/>
        </w:rPr>
        <w:t>c</w:t>
      </w:r>
      <w:r w:rsidRPr="002B60E4">
        <w:rPr>
          <w:rFonts w:ascii="Times New Roman" w:eastAsia="Times New Roman" w:hAnsi="Times New Roman" w:cs="Times New Roman"/>
          <w:color w:val="000000"/>
          <w:sz w:val="24"/>
          <w:szCs w:val="24"/>
        </w:rPr>
        <w:t>ommercial banks</w:t>
      </w:r>
      <w:r w:rsidRPr="009264D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liquidity, liquidity risk</w:t>
      </w:r>
      <w:r w:rsidR="00C6587C">
        <w:rPr>
          <w:rFonts w:ascii="Times New Roman" w:eastAsia="Times New Roman" w:hAnsi="Times New Roman"/>
          <w:color w:val="000000"/>
          <w:sz w:val="24"/>
          <w:szCs w:val="24"/>
        </w:rPr>
        <w:t>,</w:t>
      </w:r>
      <w:r w:rsidR="00C6587C" w:rsidRPr="00C6587C">
        <w:rPr>
          <w:rFonts w:ascii="Times New Roman" w:hAnsi="Times New Roman"/>
          <w:sz w:val="24"/>
          <w:szCs w:val="24"/>
        </w:rPr>
        <w:t xml:space="preserve"> </w:t>
      </w:r>
      <w:r w:rsidR="00C6587C">
        <w:rPr>
          <w:rFonts w:ascii="Times New Roman" w:hAnsi="Times New Roman"/>
          <w:sz w:val="24"/>
          <w:szCs w:val="24"/>
        </w:rPr>
        <w:t>f</w:t>
      </w:r>
      <w:r w:rsidR="00C6587C" w:rsidRPr="009264DD">
        <w:rPr>
          <w:rFonts w:ascii="Times New Roman" w:hAnsi="Times New Roman"/>
          <w:sz w:val="24"/>
          <w:szCs w:val="24"/>
        </w:rPr>
        <w:t>oreign ownership</w:t>
      </w:r>
      <w:r w:rsidRPr="009264DD">
        <w:rPr>
          <w:rFonts w:ascii="Times New Roman" w:eastAsia="Times New Roman" w:hAnsi="Times New Roman"/>
          <w:color w:val="000000"/>
          <w:sz w:val="24"/>
          <w:szCs w:val="24"/>
        </w:rPr>
        <w:t>.</w:t>
      </w:r>
    </w:p>
    <w:p w:rsidR="00433FFF" w:rsidRDefault="00433FFF">
      <w:pPr>
        <w:rPr>
          <w:rFonts w:ascii="Times New Roman" w:hAnsi="Times New Roman" w:cs="Times New Roman"/>
          <w:b/>
          <w:sz w:val="24"/>
          <w:szCs w:val="24"/>
        </w:rPr>
      </w:pPr>
      <w:r>
        <w:rPr>
          <w:rFonts w:ascii="Times New Roman" w:hAnsi="Times New Roman" w:cs="Times New Roman"/>
          <w:b/>
          <w:sz w:val="24"/>
          <w:szCs w:val="24"/>
        </w:rPr>
        <w:br w:type="page"/>
      </w:r>
    </w:p>
    <w:p w:rsidR="00433FFF" w:rsidRDefault="00433FFF" w:rsidP="001E7A86">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Sở hữu nước ngoài và rủi ro thanh khoản của các ngân hàng thương mại Việt Nam</w:t>
      </w:r>
    </w:p>
    <w:p w:rsidR="00433FFF" w:rsidRDefault="00433FFF" w:rsidP="001E7A86">
      <w:pPr>
        <w:rPr>
          <w:rFonts w:ascii="Times New Roman" w:hAnsi="Times New Roman" w:cs="Times New Roman"/>
          <w:b/>
          <w:sz w:val="24"/>
          <w:szCs w:val="24"/>
        </w:rPr>
      </w:pPr>
    </w:p>
    <w:p w:rsidR="00433FFF" w:rsidRPr="003A43D5" w:rsidRDefault="00433FFF" w:rsidP="001E7A86">
      <w:pPr>
        <w:rPr>
          <w:rFonts w:ascii="Helvetica" w:eastAsia="Times New Roman" w:hAnsi="Helvetica" w:cs="Helvetica"/>
          <w:color w:val="000000"/>
          <w:sz w:val="24"/>
          <w:szCs w:val="24"/>
        </w:rPr>
      </w:pPr>
      <w:r>
        <w:rPr>
          <w:rFonts w:ascii="Times New Roman" w:hAnsi="Times New Roman" w:cs="Times New Roman"/>
          <w:b/>
          <w:sz w:val="24"/>
          <w:szCs w:val="24"/>
        </w:rPr>
        <w:t xml:space="preserve">1. </w:t>
      </w:r>
      <w:r w:rsidRPr="003A43D5">
        <w:rPr>
          <w:rFonts w:ascii="Times New Roman" w:hAnsi="Times New Roman" w:cs="Times New Roman"/>
          <w:b/>
          <w:sz w:val="24"/>
          <w:szCs w:val="24"/>
        </w:rPr>
        <w:t>Giới thiệu</w:t>
      </w:r>
    </w:p>
    <w:p w:rsidR="00433FFF" w:rsidRDefault="00433FFF" w:rsidP="001E7A86">
      <w:pPr>
        <w:tabs>
          <w:tab w:val="left" w:pos="567"/>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 xml:space="preserve">Cùng với mức độ hội nhập ngày càng cao hơn của nền kinh tế, hệ thống </w:t>
      </w:r>
      <w:r>
        <w:rPr>
          <w:rFonts w:ascii="Times New Roman" w:hAnsi="Times New Roman" w:cs="Times New Roman"/>
          <w:sz w:val="24"/>
          <w:szCs w:val="24"/>
        </w:rPr>
        <w:t xml:space="preserve">ngân hàng </w:t>
      </w:r>
      <w:r>
        <w:rPr>
          <w:rFonts w:ascii="Times New Roman" w:hAnsi="Times New Roman"/>
          <w:sz w:val="24"/>
          <w:szCs w:val="24"/>
        </w:rPr>
        <w:t xml:space="preserve">Việt Nam đã và đang chịu sức ép cạnh tranh lớn từ các ngân hàng trong khu vực và thế giới. Để nâng cao năng lực cạnh tranh, các ngân hàng buộc phải mở rộng quy mô, ứng dụng công nghệ hiện đại và phương pháp quản trị tiên tiến. Để đạt được những mục tiêu trên, </w:t>
      </w:r>
      <w:r>
        <w:rPr>
          <w:rFonts w:ascii="Times New Roman" w:hAnsi="Times New Roman" w:cs="Times New Roman"/>
          <w:sz w:val="24"/>
          <w:szCs w:val="24"/>
        </w:rPr>
        <w:t>các ngân hàng thương mại (</w:t>
      </w:r>
      <w:r>
        <w:rPr>
          <w:rFonts w:ascii="Times New Roman" w:hAnsi="Times New Roman"/>
          <w:sz w:val="24"/>
          <w:szCs w:val="24"/>
        </w:rPr>
        <w:t xml:space="preserve">NHTM) </w:t>
      </w:r>
      <w:r>
        <w:rPr>
          <w:rFonts w:ascii="Times New Roman" w:hAnsi="Times New Roman" w:cs="Times New Roman"/>
          <w:sz w:val="24"/>
          <w:szCs w:val="24"/>
        </w:rPr>
        <w:t>Việt Nam đã có một cuộc chạy đua tìm kiếm nhà đầu tư nước ngoài tham gia góp vốn với vai trò là cổ đông chiến lược. Thực tế cho thấy, nhiều NHTM Việt Nam đã hút được một lượng vốn không nhỏ của các nhà đầu tư nước ngoài tham gia đầu tư mua cổ phần trong giai đoạn 2005-2011.</w:t>
      </w:r>
      <w:r>
        <w:rPr>
          <w:rFonts w:ascii="Times New Roman" w:hAnsi="Times New Roman" w:cs="Times New Roman"/>
          <w:sz w:val="24"/>
          <w:szCs w:val="24"/>
          <w:vertAlign w:val="superscript"/>
        </w:rPr>
        <w:t>1</w:t>
      </w:r>
      <w:r>
        <w:rPr>
          <w:rFonts w:ascii="Times New Roman" w:hAnsi="Times New Roman" w:cs="Times New Roman"/>
          <w:sz w:val="24"/>
          <w:szCs w:val="24"/>
        </w:rPr>
        <w:t xml:space="preserve"> Ở một số ngân hàng, các cổ đông chiến lược đã cử người tham gia quản trị điều hành, hỗ trợ đào tạo nguồn nhân lực cũng như chuyển giao công nghệ. Tuy nhiên, ở nhiều ngân hàng khác, do tỷ lệ sở hữu khá khiêm tốn nên vai trò của cổ đông nước ngoài đối với hoạt động của ngân hàng được đánh giá là tương đối mờ nhạt.</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sz w:val="24"/>
          <w:szCs w:val="24"/>
        </w:rPr>
        <w:t xml:space="preserve">Trong thời gian gần đây, chủ đề </w:t>
      </w:r>
      <w:r>
        <w:rPr>
          <w:rFonts w:ascii="Times New Roman" w:hAnsi="Times New Roman" w:cs="Times New Roman"/>
          <w:sz w:val="24"/>
          <w:szCs w:val="24"/>
        </w:rPr>
        <w:t>sở hữu nước ngoài trong NHTM đang được bàn luận sôi nổi ở nhiều diễn đàn. Trong đó, vấn đề quy định giới hạn sở hữu của các nhà đầu tư nước ngoài ở các NHTM là một trong những nội dung được thảo luận nhiều nhất. Theo quy định hiện hành, Nghị định 01/NĐ-CP giới hạn tỷ lệ sở hữu của nhà đầu tư nước ngoài không được vượt quá 30% vốn của một ngân hàng thương mại Việt Nam. Các nhà đầu tư nước ngoài cho rằng giới hạn này còn thấp nên chưa thực sự hấp dẫn họ. Nhiều chuyên gia đồng tình với đề nghị nâng tỷ lệ sở hữu của nhà đầu tư nước ngoài trong các tổ chức tín dụng của Việt Nam.</w:t>
      </w:r>
      <w:r>
        <w:rPr>
          <w:rFonts w:ascii="Times New Roman" w:hAnsi="Times New Roman" w:cs="Times New Roman"/>
          <w:sz w:val="24"/>
          <w:szCs w:val="24"/>
          <w:vertAlign w:val="superscript"/>
        </w:rPr>
        <w:t>2</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786CD7">
        <w:rPr>
          <w:rFonts w:ascii="Times New Roman" w:hAnsi="Times New Roman" w:cs="Times New Roman"/>
          <w:sz w:val="24"/>
          <w:szCs w:val="24"/>
        </w:rPr>
        <w:t xml:space="preserve">ăng tỷ lệ sở hữu nhà đầu tư nước ngoài </w:t>
      </w:r>
      <w:r>
        <w:rPr>
          <w:rFonts w:ascii="Times New Roman" w:hAnsi="Times New Roman" w:cs="Times New Roman"/>
          <w:sz w:val="24"/>
          <w:szCs w:val="24"/>
        </w:rPr>
        <w:t xml:space="preserve">trong doanh nghiệp </w:t>
      </w:r>
      <w:r w:rsidRPr="00786CD7">
        <w:rPr>
          <w:rFonts w:ascii="Times New Roman" w:hAnsi="Times New Roman" w:cs="Times New Roman"/>
          <w:sz w:val="24"/>
          <w:szCs w:val="24"/>
        </w:rPr>
        <w:t>là tất yếu</w:t>
      </w:r>
      <w:r>
        <w:rPr>
          <w:rFonts w:ascii="Times New Roman" w:hAnsi="Times New Roman" w:cs="Times New Roman"/>
          <w:sz w:val="24"/>
          <w:szCs w:val="24"/>
        </w:rPr>
        <w:t xml:space="preserve"> trong điều kiện hội nhập kinh tế toàn cầu</w:t>
      </w:r>
      <w:r w:rsidRPr="00786CD7">
        <w:rPr>
          <w:rFonts w:ascii="Times New Roman" w:hAnsi="Times New Roman" w:cs="Times New Roman"/>
          <w:sz w:val="24"/>
          <w:szCs w:val="24"/>
        </w:rPr>
        <w:t>. Tuy nhiên, đối với ngành ngân hàng</w:t>
      </w:r>
      <w:r>
        <w:rPr>
          <w:rFonts w:ascii="Times New Roman" w:hAnsi="Times New Roman" w:cs="Times New Roman"/>
          <w:sz w:val="24"/>
          <w:szCs w:val="24"/>
        </w:rPr>
        <w:t xml:space="preserve">, việc tăng tỷ lệ sở hữu nước ngoài </w:t>
      </w:r>
      <w:r w:rsidRPr="00786CD7">
        <w:rPr>
          <w:rFonts w:ascii="Times New Roman" w:hAnsi="Times New Roman" w:cs="Times New Roman"/>
          <w:sz w:val="24"/>
          <w:szCs w:val="24"/>
        </w:rPr>
        <w:t>cần phải</w:t>
      </w:r>
      <w:r>
        <w:rPr>
          <w:rFonts w:ascii="Times New Roman" w:hAnsi="Times New Roman" w:cs="Times New Roman"/>
          <w:sz w:val="24"/>
          <w:szCs w:val="24"/>
        </w:rPr>
        <w:t xml:space="preserve"> được xem xét và nghiên cứu một cách cẩn trọng. Một trong những khía cạnh quan trọng cần xem xét là các tác động của sở hữu nước ngoài đối với hệ thống ngân hàng và nền kinh tế. Nói cách khác, các nhà quản lý cần có sự cân nhắc giữa những tác động tích cực và tiêu cực của sở hữu nước ngoài đối với các ngân hàng thương mại Việt Nam.</w:t>
      </w:r>
      <w:r w:rsidRPr="00786CD7">
        <w:rPr>
          <w:rFonts w:ascii="Times New Roman" w:hAnsi="Times New Roman" w:cs="Times New Roman"/>
          <w:sz w:val="24"/>
          <w:szCs w:val="24"/>
        </w:rPr>
        <w:t xml:space="preserve"> </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Trên thế giới, chủ đề mối quan hệ giữa </w:t>
      </w:r>
      <w:r w:rsidRPr="002254C6">
        <w:rPr>
          <w:rFonts w:ascii="Times New Roman" w:hAnsi="Times New Roman" w:cs="Times New Roman"/>
          <w:sz w:val="24"/>
          <w:szCs w:val="24"/>
        </w:rPr>
        <w:t xml:space="preserve">sở hữu nước ngoài </w:t>
      </w:r>
      <w:r>
        <w:rPr>
          <w:rFonts w:ascii="Times New Roman" w:hAnsi="Times New Roman" w:cs="Times New Roman"/>
          <w:sz w:val="24"/>
          <w:szCs w:val="24"/>
        </w:rPr>
        <w:t xml:space="preserve">với </w:t>
      </w:r>
      <w:r w:rsidRPr="002254C6">
        <w:rPr>
          <w:rFonts w:ascii="Times New Roman" w:hAnsi="Times New Roman" w:cs="Times New Roman"/>
          <w:sz w:val="24"/>
          <w:szCs w:val="24"/>
        </w:rPr>
        <w:t>rủi ro củ</w:t>
      </w:r>
      <w:r>
        <w:rPr>
          <w:rFonts w:ascii="Times New Roman" w:hAnsi="Times New Roman" w:cs="Times New Roman"/>
          <w:sz w:val="24"/>
          <w:szCs w:val="24"/>
        </w:rPr>
        <w:t xml:space="preserve">a </w:t>
      </w:r>
      <w:r w:rsidRPr="002254C6">
        <w:rPr>
          <w:rFonts w:ascii="Times New Roman" w:hAnsi="Times New Roman" w:cs="Times New Roman"/>
          <w:sz w:val="24"/>
          <w:szCs w:val="24"/>
        </w:rPr>
        <w:t xml:space="preserve">ngân hàng </w:t>
      </w:r>
      <w:r>
        <w:rPr>
          <w:rFonts w:ascii="Times New Roman" w:hAnsi="Times New Roman" w:cs="Times New Roman"/>
          <w:sz w:val="24"/>
          <w:szCs w:val="24"/>
        </w:rPr>
        <w:t xml:space="preserve">thương mại đã được quan tâm nghiên cứu nhưng kết quả </w:t>
      </w:r>
      <w:r w:rsidRPr="002254C6">
        <w:rPr>
          <w:rFonts w:ascii="Times New Roman" w:hAnsi="Times New Roman" w:cs="Times New Roman"/>
          <w:sz w:val="24"/>
          <w:szCs w:val="24"/>
        </w:rPr>
        <w:t xml:space="preserve">vẫn còn </w:t>
      </w:r>
      <w:r>
        <w:rPr>
          <w:rFonts w:ascii="Times New Roman" w:hAnsi="Times New Roman" w:cs="Times New Roman"/>
          <w:sz w:val="24"/>
          <w:szCs w:val="24"/>
        </w:rPr>
        <w:t>chưa thống nhất</w:t>
      </w:r>
      <w:r w:rsidRPr="002254C6">
        <w:rPr>
          <w:rFonts w:ascii="Times New Roman" w:hAnsi="Times New Roman" w:cs="Times New Roman"/>
          <w:sz w:val="24"/>
          <w:szCs w:val="24"/>
        </w:rPr>
        <w:t xml:space="preserve">. </w:t>
      </w:r>
      <w:r>
        <w:rPr>
          <w:rFonts w:ascii="Times New Roman" w:hAnsi="Times New Roman" w:cs="Times New Roman"/>
          <w:sz w:val="24"/>
          <w:szCs w:val="24"/>
        </w:rPr>
        <w:t>Ví dụ, m</w:t>
      </w:r>
      <w:r w:rsidRPr="002254C6">
        <w:rPr>
          <w:rFonts w:ascii="Times New Roman" w:hAnsi="Times New Roman" w:cs="Times New Roman"/>
          <w:sz w:val="24"/>
          <w:szCs w:val="24"/>
        </w:rPr>
        <w:t xml:space="preserve">ột số nghiên cứu cho rằng sở hữu nước ngoài càng lớn rủi ro </w:t>
      </w:r>
      <w:r>
        <w:rPr>
          <w:rFonts w:ascii="Times New Roman" w:hAnsi="Times New Roman" w:cs="Times New Roman"/>
          <w:sz w:val="24"/>
          <w:szCs w:val="24"/>
        </w:rPr>
        <w:t xml:space="preserve">của ngân hàng </w:t>
      </w:r>
      <w:r w:rsidRPr="002254C6">
        <w:rPr>
          <w:rFonts w:ascii="Times New Roman" w:hAnsi="Times New Roman" w:cs="Times New Roman"/>
          <w:sz w:val="24"/>
          <w:szCs w:val="24"/>
        </w:rPr>
        <w:t>sẽ càng tăng</w:t>
      </w:r>
      <w:r>
        <w:rPr>
          <w:rFonts w:ascii="Times New Roman" w:hAnsi="Times New Roman" w:cs="Times New Roman"/>
          <w:sz w:val="24"/>
          <w:szCs w:val="24"/>
        </w:rPr>
        <w:t xml:space="preserve"> </w:t>
      </w:r>
      <w:r>
        <w:rPr>
          <w:rFonts w:ascii="Times New Roman" w:hAnsi="Times New Roman" w:cs="Times New Roman"/>
          <w:noProof/>
          <w:sz w:val="24"/>
          <w:szCs w:val="24"/>
        </w:rPr>
        <w:t>(Lee 2008; Saunders et al. 1990)</w:t>
      </w:r>
      <w:r w:rsidRPr="002254C6">
        <w:rPr>
          <w:rFonts w:ascii="Times New Roman" w:hAnsi="Times New Roman" w:cs="Times New Roman"/>
          <w:sz w:val="24"/>
          <w:szCs w:val="24"/>
        </w:rPr>
        <w:t xml:space="preserve">. </w:t>
      </w:r>
      <w:r>
        <w:rPr>
          <w:rFonts w:ascii="Times New Roman" w:hAnsi="Times New Roman" w:cs="Times New Roman"/>
          <w:sz w:val="24"/>
          <w:szCs w:val="24"/>
        </w:rPr>
        <w:t xml:space="preserve">Tuy nhiên, nhiều </w:t>
      </w:r>
      <w:r w:rsidRPr="002254C6">
        <w:rPr>
          <w:rFonts w:ascii="Times New Roman" w:hAnsi="Times New Roman" w:cs="Times New Roman"/>
          <w:sz w:val="24"/>
          <w:szCs w:val="24"/>
        </w:rPr>
        <w:t>nghiên cứu</w:t>
      </w:r>
      <w:r>
        <w:rPr>
          <w:rFonts w:ascii="Times New Roman" w:hAnsi="Times New Roman" w:cs="Times New Roman"/>
          <w:sz w:val="24"/>
          <w:szCs w:val="24"/>
        </w:rPr>
        <w:t xml:space="preserve"> khác</w:t>
      </w:r>
      <w:r w:rsidRPr="002254C6">
        <w:rPr>
          <w:rFonts w:ascii="Times New Roman" w:hAnsi="Times New Roman" w:cs="Times New Roman"/>
          <w:sz w:val="24"/>
          <w:szCs w:val="24"/>
        </w:rPr>
        <w:t xml:space="preserve"> lại cho rằng sở hữu nước ngoài tác động </w:t>
      </w:r>
      <w:r>
        <w:rPr>
          <w:rFonts w:ascii="Times New Roman" w:hAnsi="Times New Roman" w:cs="Times New Roman"/>
          <w:sz w:val="24"/>
          <w:szCs w:val="24"/>
        </w:rPr>
        <w:t>làm giảm</w:t>
      </w:r>
      <w:r w:rsidRPr="002254C6">
        <w:rPr>
          <w:rFonts w:ascii="Times New Roman" w:hAnsi="Times New Roman" w:cs="Times New Roman"/>
          <w:sz w:val="24"/>
          <w:szCs w:val="24"/>
        </w:rPr>
        <w:t xml:space="preserve"> rủi ro của các ngân hàng thương </w:t>
      </w:r>
      <w:r w:rsidRPr="00191D78">
        <w:rPr>
          <w:rFonts w:ascii="Times New Roman" w:hAnsi="Times New Roman" w:cs="Times New Roman"/>
          <w:sz w:val="24"/>
          <w:szCs w:val="24"/>
        </w:rPr>
        <w:t>mại</w:t>
      </w:r>
      <w:r>
        <w:rPr>
          <w:rFonts w:ascii="Times New Roman" w:hAnsi="Times New Roman" w:cs="Times New Roman"/>
          <w:sz w:val="24"/>
          <w:szCs w:val="24"/>
        </w:rPr>
        <w:t xml:space="preserve"> </w:t>
      </w:r>
      <w:r>
        <w:rPr>
          <w:rFonts w:ascii="Times New Roman" w:hAnsi="Times New Roman" w:cs="Times New Roman"/>
          <w:noProof/>
          <w:sz w:val="24"/>
          <w:szCs w:val="24"/>
        </w:rPr>
        <w:t>(Laeven 1999)</w:t>
      </w:r>
      <w:r w:rsidRPr="00191D78">
        <w:rPr>
          <w:rFonts w:ascii="Times New Roman" w:hAnsi="Times New Roman" w:cs="Times New Roman"/>
          <w:sz w:val="24"/>
          <w:szCs w:val="24"/>
        </w:rPr>
        <w:t>.</w:t>
      </w:r>
      <w:r>
        <w:rPr>
          <w:rFonts w:ascii="Times New Roman" w:hAnsi="Times New Roman" w:cs="Times New Roman"/>
          <w:sz w:val="24"/>
          <w:szCs w:val="24"/>
        </w:rPr>
        <w:t xml:space="preserve"> Ngoài ra, </w:t>
      </w:r>
      <w:r>
        <w:rPr>
          <w:rFonts w:ascii="Times New Roman" w:hAnsi="Times New Roman" w:cs="Times New Roman"/>
          <w:noProof/>
          <w:sz w:val="24"/>
          <w:szCs w:val="24"/>
        </w:rPr>
        <w:t>Micco et al. (2007)</w:t>
      </w:r>
      <w:r>
        <w:rPr>
          <w:rFonts w:ascii="Times New Roman" w:hAnsi="Times New Roman" w:cs="Times New Roman"/>
          <w:sz w:val="24"/>
          <w:szCs w:val="24"/>
        </w:rPr>
        <w:t xml:space="preserve"> chỉ ra rằng cổ đông nước ngoài có vai trò quan trọng trong việc nâng cao hiệu quả hoạt động, phát triển hệ thống, cải thiện tỷ suất sinh lời và quản trị chi phí hoạt động. Từ đó, </w:t>
      </w:r>
      <w:r>
        <w:rPr>
          <w:rFonts w:ascii="Times New Roman" w:hAnsi="Times New Roman" w:cs="Times New Roman"/>
          <w:noProof/>
          <w:sz w:val="24"/>
          <w:szCs w:val="24"/>
        </w:rPr>
        <w:t>Micco, Panizza &amp; Yanez (2007)</w:t>
      </w:r>
      <w:r>
        <w:rPr>
          <w:rFonts w:ascii="Times New Roman" w:hAnsi="Times New Roman" w:cs="Times New Roman"/>
          <w:sz w:val="24"/>
          <w:szCs w:val="24"/>
        </w:rPr>
        <w:t xml:space="preserve"> khuyến nghị nên nâng cao tỷ lệ sở hữu nước ngoài trong ngân hàng ở các nước đang phát triển.</w:t>
      </w:r>
    </w:p>
    <w:p w:rsidR="00433FFF" w:rsidRPr="00191D78"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Ở Việt Nam, như đã nêu ở trên, vấn đề về vai trò của cổ đông nước ngoài đã trở thành một vấn đề cấp thiết trong thực tiễn. Tuy vậy, ở khía cạnh học thuật vẫn chưa có nhiều nghiên cứu thực nghiệm về vấn đề này. Để bổ sung cho khoảng trống đó, b</w:t>
      </w:r>
      <w:r w:rsidRPr="00786CD7">
        <w:rPr>
          <w:rFonts w:ascii="Times New Roman" w:hAnsi="Times New Roman" w:cs="Times New Roman"/>
          <w:sz w:val="24"/>
          <w:szCs w:val="24"/>
        </w:rPr>
        <w:t>ài báo này</w:t>
      </w:r>
      <w:r>
        <w:rPr>
          <w:rFonts w:ascii="Times New Roman" w:hAnsi="Times New Roman" w:cs="Times New Roman"/>
          <w:sz w:val="24"/>
          <w:szCs w:val="24"/>
        </w:rPr>
        <w:t xml:space="preserve"> nghiên cứu xem xét tác động của sở hữu nước ngoài đối với rủi ro thanh khoản các ngân hàng thương mại Việt Nam. Kết quả nghiên cứu của bài báo là bằng chứng thực nghiệm sinh động về vai trò của cổ đông nước ngoài đối với công tác quản trị rủi ro thanh khoản tại các ngân hàng thương mại Việt Nam. Ngoài ra, bài báo cung cấp một số gợi ý chính sách góp phần nâng cao công tác quản trị rủi </w:t>
      </w:r>
      <w:r>
        <w:rPr>
          <w:rFonts w:ascii="Times New Roman" w:hAnsi="Times New Roman" w:cs="Times New Roman"/>
          <w:sz w:val="24"/>
          <w:szCs w:val="24"/>
        </w:rPr>
        <w:lastRenderedPageBreak/>
        <w:t>ro ở các ngân hàng thương mại nói riêng và đảm bảo sự vững mạnh của hệ thống ngân hàng Việt Nam nói chung.</w:t>
      </w:r>
    </w:p>
    <w:p w:rsidR="00433FFF" w:rsidRPr="008D257A" w:rsidRDefault="00433FFF" w:rsidP="001E7A86">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9264DD">
        <w:rPr>
          <w:rFonts w:ascii="Times New Roman" w:hAnsi="Times New Roman" w:cs="Times New Roman"/>
          <w:b/>
          <w:sz w:val="24"/>
          <w:szCs w:val="24"/>
        </w:rPr>
        <w:t xml:space="preserve"> </w:t>
      </w:r>
      <w:r>
        <w:rPr>
          <w:rFonts w:ascii="Times New Roman" w:hAnsi="Times New Roman" w:cs="Times New Roman"/>
          <w:b/>
          <w:sz w:val="24"/>
          <w:szCs w:val="24"/>
        </w:rPr>
        <w:t xml:space="preserve">Khung </w:t>
      </w:r>
      <w:r w:rsidRPr="009264DD">
        <w:rPr>
          <w:rFonts w:ascii="Times New Roman" w:hAnsi="Times New Roman" w:cs="Times New Roman"/>
          <w:b/>
          <w:sz w:val="24"/>
          <w:szCs w:val="24"/>
        </w:rPr>
        <w:t xml:space="preserve">lý thuyết </w:t>
      </w:r>
    </w:p>
    <w:p w:rsidR="00433FFF" w:rsidRPr="009264DD" w:rsidRDefault="00433FFF" w:rsidP="001E7A86">
      <w:pPr>
        <w:pStyle w:val="BodyText"/>
        <w:tabs>
          <w:tab w:val="left" w:pos="567"/>
        </w:tabs>
        <w:spacing w:before="120" w:after="120"/>
        <w:ind w:left="0" w:firstLine="0"/>
        <w:jc w:val="both"/>
        <w:rPr>
          <w:rFonts w:cs="Times New Roman"/>
          <w:sz w:val="24"/>
          <w:szCs w:val="24"/>
        </w:rPr>
      </w:pPr>
      <w:r>
        <w:rPr>
          <w:rFonts w:cs="Times New Roman"/>
          <w:sz w:val="24"/>
          <w:szCs w:val="24"/>
        </w:rPr>
        <w:tab/>
      </w:r>
      <w:r>
        <w:rPr>
          <w:rFonts w:cs="Times New Roman"/>
          <w:noProof/>
          <w:sz w:val="24"/>
          <w:szCs w:val="24"/>
        </w:rPr>
        <w:t>BIS (2009)</w:t>
      </w:r>
      <w:r>
        <w:rPr>
          <w:rFonts w:cs="Times New Roman"/>
          <w:sz w:val="24"/>
          <w:szCs w:val="24"/>
        </w:rPr>
        <w:t xml:space="preserve"> định nghĩa t</w:t>
      </w:r>
      <w:r w:rsidRPr="009264DD">
        <w:rPr>
          <w:rFonts w:cs="Times New Roman"/>
          <w:sz w:val="24"/>
          <w:szCs w:val="24"/>
        </w:rPr>
        <w:t xml:space="preserve">hanh khoản là một </w:t>
      </w:r>
      <w:r>
        <w:rPr>
          <w:rFonts w:cs="Times New Roman"/>
          <w:sz w:val="24"/>
          <w:szCs w:val="24"/>
        </w:rPr>
        <w:t>khái niệm</w:t>
      </w:r>
      <w:r w:rsidRPr="009264DD">
        <w:rPr>
          <w:rFonts w:cs="Times New Roman"/>
          <w:sz w:val="24"/>
          <w:szCs w:val="24"/>
        </w:rPr>
        <w:t xml:space="preserve"> chuyên ngành về khả năng đáp ứng các nhu cầu về sử dụng vốn khả dụng phục vụ cho hoạt động kinh doanh tại mọi thời điểm như chi trả tiền gửi, cho vay, thanh toán, </w:t>
      </w:r>
      <w:r>
        <w:rPr>
          <w:rFonts w:cs="Times New Roman"/>
          <w:sz w:val="24"/>
          <w:szCs w:val="24"/>
        </w:rPr>
        <w:t xml:space="preserve">và </w:t>
      </w:r>
      <w:r w:rsidRPr="009264DD">
        <w:rPr>
          <w:rFonts w:cs="Times New Roman"/>
          <w:sz w:val="24"/>
          <w:szCs w:val="24"/>
        </w:rPr>
        <w:t>giao dịch vốn</w:t>
      </w:r>
      <w:r>
        <w:rPr>
          <w:rFonts w:cs="Times New Roman"/>
          <w:sz w:val="24"/>
          <w:szCs w:val="24"/>
        </w:rPr>
        <w:t xml:space="preserve"> của ngân hàng</w:t>
      </w:r>
      <w:r w:rsidRPr="009264DD">
        <w:rPr>
          <w:rFonts w:cs="Times New Roman"/>
          <w:sz w:val="24"/>
          <w:szCs w:val="24"/>
        </w:rPr>
        <w:t>.</w:t>
      </w:r>
      <w:r>
        <w:rPr>
          <w:rFonts w:cs="Times New Roman"/>
          <w:sz w:val="24"/>
          <w:szCs w:val="24"/>
        </w:rPr>
        <w:t xml:space="preserve"> </w:t>
      </w:r>
      <w:bookmarkStart w:id="1" w:name="OLE_LINK6"/>
      <w:bookmarkStart w:id="2" w:name="OLE_LINK7"/>
      <w:r>
        <w:rPr>
          <w:rFonts w:cs="Times New Roman"/>
          <w:sz w:val="24"/>
          <w:szCs w:val="24"/>
        </w:rPr>
        <w:t xml:space="preserve">Theo </w:t>
      </w:r>
      <w:bookmarkEnd w:id="1"/>
      <w:bookmarkEnd w:id="2"/>
      <w:r>
        <w:rPr>
          <w:rFonts w:cs="Times New Roman"/>
          <w:noProof/>
          <w:sz w:val="24"/>
          <w:szCs w:val="24"/>
        </w:rPr>
        <w:t>Duttweiler (2009)</w:t>
      </w:r>
      <w:r>
        <w:rPr>
          <w:rFonts w:cs="Times New Roman"/>
          <w:sz w:val="24"/>
          <w:szCs w:val="24"/>
        </w:rPr>
        <w:t xml:space="preserve"> thì t</w:t>
      </w:r>
      <w:r w:rsidRPr="006811BE">
        <w:rPr>
          <w:rFonts w:cs="Times New Roman"/>
          <w:sz w:val="24"/>
          <w:szCs w:val="24"/>
        </w:rPr>
        <w:t xml:space="preserve">hanh khoản </w:t>
      </w:r>
      <w:r>
        <w:rPr>
          <w:rFonts w:cs="Times New Roman"/>
          <w:sz w:val="24"/>
          <w:szCs w:val="24"/>
        </w:rPr>
        <w:t>là sự</w:t>
      </w:r>
      <w:r w:rsidRPr="006811BE">
        <w:rPr>
          <w:rFonts w:cs="Times New Roman"/>
          <w:sz w:val="24"/>
          <w:szCs w:val="24"/>
        </w:rPr>
        <w:t xml:space="preserve"> dễ dàng chuyển một tài sản cụ thể thành tiền mặt </w:t>
      </w:r>
      <w:r>
        <w:rPr>
          <w:rFonts w:cs="Times New Roman"/>
          <w:sz w:val="24"/>
          <w:szCs w:val="24"/>
        </w:rPr>
        <w:t xml:space="preserve">và </w:t>
      </w:r>
      <w:r w:rsidRPr="006811BE">
        <w:rPr>
          <w:rFonts w:cs="Times New Roman"/>
          <w:sz w:val="24"/>
          <w:szCs w:val="24"/>
        </w:rPr>
        <w:t>khi</w:t>
      </w:r>
      <w:r>
        <w:rPr>
          <w:rFonts w:cs="Times New Roman"/>
          <w:sz w:val="24"/>
          <w:szCs w:val="24"/>
        </w:rPr>
        <w:t xml:space="preserve"> công ty</w:t>
      </w:r>
      <w:r w:rsidRPr="006811BE">
        <w:rPr>
          <w:rFonts w:cs="Times New Roman"/>
          <w:sz w:val="24"/>
          <w:szCs w:val="24"/>
        </w:rPr>
        <w:t xml:space="preserve"> muốn chuyển </w:t>
      </w:r>
      <w:r>
        <w:rPr>
          <w:rFonts w:cs="Times New Roman"/>
          <w:sz w:val="24"/>
          <w:szCs w:val="24"/>
        </w:rPr>
        <w:t>tài sản</w:t>
      </w:r>
      <w:r w:rsidRPr="006811BE">
        <w:rPr>
          <w:rFonts w:cs="Times New Roman"/>
          <w:sz w:val="24"/>
          <w:szCs w:val="24"/>
        </w:rPr>
        <w:t xml:space="preserve"> thành tiền mặt thị trường vẫn còn khả năng chấp nhận các giao dịch</w:t>
      </w:r>
      <w:r>
        <w:rPr>
          <w:rFonts w:cs="Times New Roman"/>
          <w:sz w:val="24"/>
          <w:szCs w:val="24"/>
        </w:rPr>
        <w:t xml:space="preserve">. Hơn nữa, </w:t>
      </w:r>
      <w:r>
        <w:rPr>
          <w:rFonts w:cs="Times New Roman"/>
          <w:noProof/>
          <w:sz w:val="24"/>
          <w:szCs w:val="24"/>
        </w:rPr>
        <w:t>Duttweiler (2009)</w:t>
      </w:r>
      <w:r>
        <w:rPr>
          <w:rFonts w:cs="Times New Roman"/>
          <w:sz w:val="24"/>
          <w:szCs w:val="24"/>
        </w:rPr>
        <w:t xml:space="preserve"> phân loại t</w:t>
      </w:r>
      <w:r w:rsidRPr="006811BE">
        <w:rPr>
          <w:rFonts w:cs="Times New Roman"/>
          <w:sz w:val="24"/>
          <w:szCs w:val="24"/>
        </w:rPr>
        <w:t xml:space="preserve">hanh khoản </w:t>
      </w:r>
      <w:r>
        <w:rPr>
          <w:rFonts w:cs="Times New Roman"/>
          <w:sz w:val="24"/>
          <w:szCs w:val="24"/>
        </w:rPr>
        <w:t xml:space="preserve">của ngân hàng thương mại thành hai loại bao gồm </w:t>
      </w:r>
      <w:r w:rsidRPr="006811BE">
        <w:rPr>
          <w:rFonts w:cs="Times New Roman"/>
          <w:sz w:val="24"/>
          <w:szCs w:val="24"/>
        </w:rPr>
        <w:t xml:space="preserve">thanh khoản tự nhiên và thanh khoản nhân tạo. </w:t>
      </w:r>
      <w:r w:rsidRPr="00A86394">
        <w:rPr>
          <w:rFonts w:cs="Times New Roman"/>
          <w:sz w:val="24"/>
          <w:szCs w:val="24"/>
        </w:rPr>
        <w:t xml:space="preserve">Thanh khoản tự nhiên </w:t>
      </w:r>
      <w:r>
        <w:rPr>
          <w:rFonts w:cs="Times New Roman"/>
          <w:sz w:val="24"/>
          <w:szCs w:val="24"/>
        </w:rPr>
        <w:t>được tạo ra</w:t>
      </w:r>
      <w:r w:rsidRPr="00A86394">
        <w:rPr>
          <w:rFonts w:cs="Times New Roman"/>
          <w:sz w:val="24"/>
          <w:szCs w:val="24"/>
        </w:rPr>
        <w:t xml:space="preserve"> từ tài sản của ngân hàng có thời gian đáo hạn theo quy định</w:t>
      </w:r>
      <w:r w:rsidRPr="006811BE">
        <w:rPr>
          <w:rFonts w:cs="Times New Roman"/>
          <w:sz w:val="24"/>
          <w:szCs w:val="24"/>
        </w:rPr>
        <w:t>. Thanh khoản nhân tạo được tạo ra thông qua khả năng chuyển đổi tài sản thành tiền mặt trước ngày đáo hạn.</w:t>
      </w:r>
    </w:p>
    <w:p w:rsidR="00433FFF" w:rsidRPr="009264DD" w:rsidRDefault="00433FFF" w:rsidP="001E7A86">
      <w:pPr>
        <w:pStyle w:val="BodyText"/>
        <w:tabs>
          <w:tab w:val="left" w:pos="567"/>
        </w:tabs>
        <w:spacing w:before="120" w:after="120"/>
        <w:ind w:left="0" w:right="108" w:firstLine="0"/>
        <w:jc w:val="both"/>
        <w:rPr>
          <w:rFonts w:cs="Times New Roman"/>
          <w:sz w:val="24"/>
          <w:szCs w:val="24"/>
        </w:rPr>
      </w:pPr>
      <w:r>
        <w:rPr>
          <w:rFonts w:cs="Times New Roman"/>
          <w:sz w:val="24"/>
          <w:szCs w:val="24"/>
        </w:rPr>
        <w:tab/>
        <w:t xml:space="preserve">Đối với khái niệm rủi ro thanh khoản, </w:t>
      </w:r>
      <w:r>
        <w:rPr>
          <w:rFonts w:cs="Times New Roman"/>
          <w:noProof/>
          <w:sz w:val="24"/>
          <w:szCs w:val="24"/>
        </w:rPr>
        <w:t>Duttweiler (2009)</w:t>
      </w:r>
      <w:r>
        <w:rPr>
          <w:rFonts w:cs="Times New Roman"/>
          <w:sz w:val="24"/>
          <w:szCs w:val="24"/>
        </w:rPr>
        <w:t xml:space="preserve"> </w:t>
      </w:r>
      <w:r>
        <w:rPr>
          <w:sz w:val="24"/>
          <w:szCs w:val="24"/>
        </w:rPr>
        <w:t xml:space="preserve">cho rằng </w:t>
      </w:r>
      <w:r w:rsidRPr="009264DD">
        <w:rPr>
          <w:rFonts w:cs="Times New Roman"/>
          <w:sz w:val="24"/>
          <w:szCs w:val="24"/>
        </w:rPr>
        <w:t xml:space="preserve">rủi ro thanh khoản là rủi ro phát sinh khi NHTM không có khả năng thanh toán tại một thời điểm nào đó, hoặc phải huy động các nguồn vốn với chi phí cao để đáp ứng nhu cầu thanh toán, hoặc do các nguyên nhân khác làm mất khả năng thanh toán của NHTM, từ đó có thể kéo theo những </w:t>
      </w:r>
      <w:r>
        <w:rPr>
          <w:rFonts w:cs="Times New Roman"/>
          <w:sz w:val="24"/>
          <w:szCs w:val="24"/>
        </w:rPr>
        <w:t>tác động không tốt cho ngân hàng thương mại</w:t>
      </w:r>
      <w:r w:rsidRPr="009264DD">
        <w:rPr>
          <w:rFonts w:cs="Times New Roman"/>
          <w:sz w:val="24"/>
          <w:szCs w:val="24"/>
        </w:rPr>
        <w:t>.</w:t>
      </w:r>
    </w:p>
    <w:p w:rsidR="00433FFF" w:rsidRDefault="00433FFF" w:rsidP="001E7A8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1818FD">
        <w:rPr>
          <w:rFonts w:ascii="Times New Roman" w:hAnsi="Times New Roman" w:cs="Times New Roman"/>
          <w:sz w:val="24"/>
          <w:szCs w:val="24"/>
        </w:rPr>
        <w:t xml:space="preserve">Nhu cầu tài sản thanh khoản của các ngân hàng là một biến ngẫu nhiên </w:t>
      </w:r>
      <w:r>
        <w:rPr>
          <w:rFonts w:ascii="Times New Roman" w:hAnsi="Times New Roman" w:cs="Times New Roman"/>
          <w:noProof/>
          <w:sz w:val="24"/>
          <w:szCs w:val="24"/>
        </w:rPr>
        <w:t>(Diamond &amp; Dybvig 1983)</w:t>
      </w:r>
      <w:r>
        <w:rPr>
          <w:rFonts w:ascii="Times New Roman" w:hAnsi="Times New Roman" w:cs="Times New Roman"/>
          <w:sz w:val="24"/>
          <w:szCs w:val="24"/>
        </w:rPr>
        <w:t>. Trong hoạt động của ngân hàng thương mại, v</w:t>
      </w:r>
      <w:r w:rsidRPr="001818FD">
        <w:rPr>
          <w:rFonts w:ascii="Times New Roman" w:hAnsi="Times New Roman" w:cs="Times New Roman"/>
          <w:sz w:val="24"/>
          <w:szCs w:val="24"/>
        </w:rPr>
        <w:t>iệc nắm</w:t>
      </w:r>
      <w:r w:rsidRPr="009264DD">
        <w:rPr>
          <w:rFonts w:ascii="Times New Roman" w:hAnsi="Times New Roman" w:cs="Times New Roman"/>
          <w:sz w:val="24"/>
          <w:szCs w:val="24"/>
        </w:rPr>
        <w:t xml:space="preserve"> giữ các tài sản có tính thanh khoản cao</w:t>
      </w:r>
      <w:r>
        <w:rPr>
          <w:rFonts w:ascii="Times New Roman" w:hAnsi="Times New Roman" w:cs="Times New Roman"/>
          <w:sz w:val="24"/>
          <w:szCs w:val="24"/>
        </w:rPr>
        <w:t xml:space="preserve"> đồng nghĩa với việc các ngân hàng sẽ thu được</w:t>
      </w:r>
      <w:r w:rsidRPr="009264DD">
        <w:rPr>
          <w:rFonts w:ascii="Times New Roman" w:hAnsi="Times New Roman" w:cs="Times New Roman"/>
          <w:sz w:val="24"/>
          <w:szCs w:val="24"/>
        </w:rPr>
        <w:t xml:space="preserve"> lợi nhuận thấp. </w:t>
      </w:r>
      <w:r>
        <w:rPr>
          <w:rFonts w:ascii="Times New Roman" w:hAnsi="Times New Roman" w:cs="Times New Roman"/>
          <w:sz w:val="24"/>
          <w:szCs w:val="24"/>
        </w:rPr>
        <w:t>Nói cách khác, tỷ lệ nắm giữ tài sản thanh khoản cao có thể không mang lại lợi ích tốt nhất cho ngân hàng. Tuy nhiên</w:t>
      </w:r>
      <w:r w:rsidRPr="009264DD">
        <w:rPr>
          <w:rFonts w:ascii="Times New Roman" w:hAnsi="Times New Roman" w:cs="Times New Roman"/>
          <w:sz w:val="24"/>
          <w:szCs w:val="24"/>
        </w:rPr>
        <w:t>, các ngân hàng vẫn cần phải giữ một phần tài sản của họ ở dạng tài sản thanh khoản</w:t>
      </w:r>
      <w:r>
        <w:rPr>
          <w:rFonts w:ascii="Times New Roman" w:hAnsi="Times New Roman" w:cs="Times New Roman"/>
          <w:sz w:val="24"/>
          <w:szCs w:val="24"/>
        </w:rPr>
        <w:t xml:space="preserve"> đ</w:t>
      </w:r>
      <w:r w:rsidRPr="009264DD">
        <w:rPr>
          <w:rFonts w:ascii="Times New Roman" w:hAnsi="Times New Roman" w:cs="Times New Roman"/>
          <w:sz w:val="24"/>
          <w:szCs w:val="24"/>
        </w:rPr>
        <w:t>ể tránh nguy cơ mất thanh khoản</w:t>
      </w:r>
      <w:r>
        <w:rPr>
          <w:rFonts w:ascii="Times New Roman" w:hAnsi="Times New Roman" w:cs="Times New Roman"/>
          <w:sz w:val="24"/>
          <w:szCs w:val="24"/>
        </w:rPr>
        <w:t xml:space="preserve"> đột ngột. Tỷ lệ nắm giữ tài sản thanh khoản càng cao thì rủi ro thanh khoản của ngân hàng càng thấp. Nếu</w:t>
      </w:r>
      <w:r w:rsidRPr="009264DD">
        <w:rPr>
          <w:rFonts w:ascii="Times New Roman" w:hAnsi="Times New Roman" w:cs="Times New Roman"/>
          <w:sz w:val="24"/>
          <w:szCs w:val="24"/>
        </w:rPr>
        <w:t xml:space="preserve"> xảy ra tình trạng thiếu thanh khoản, ngân hàng buộc phải huy động từ các nguồn có chi phí vốn ca</w:t>
      </w:r>
      <w:r>
        <w:rPr>
          <w:rFonts w:ascii="Times New Roman" w:hAnsi="Times New Roman" w:cs="Times New Roman"/>
          <w:sz w:val="24"/>
          <w:szCs w:val="24"/>
        </w:rPr>
        <w:t xml:space="preserve">o hơn bình thường rất nhiều </w:t>
      </w:r>
      <w:r>
        <w:rPr>
          <w:rFonts w:ascii="Times New Roman" w:hAnsi="Times New Roman" w:cs="Times New Roman"/>
          <w:noProof/>
          <w:sz w:val="24"/>
          <w:szCs w:val="24"/>
        </w:rPr>
        <w:t>(Võ Xuân Vinh &amp; Mai Xuân Đức 2016)</w:t>
      </w:r>
      <w:r w:rsidRPr="009264DD">
        <w:rPr>
          <w:rFonts w:ascii="Times New Roman" w:hAnsi="Times New Roman" w:cs="Times New Roman"/>
          <w:sz w:val="24"/>
          <w:szCs w:val="24"/>
        </w:rPr>
        <w:t xml:space="preserve">. </w:t>
      </w:r>
      <w:r>
        <w:rPr>
          <w:rFonts w:ascii="Times New Roman" w:hAnsi="Times New Roman" w:cs="Times New Roman"/>
          <w:sz w:val="24"/>
          <w:szCs w:val="24"/>
        </w:rPr>
        <w:t>Vì vậy, các ngân hàng cần có chiến lược nắm giữ tài sản thanh khoản hợp lý trong từng thời kỳ kinh doanh để có thể vừa đảm bảo thanh khoản vừa mang lại lợi nhuận như kỳ vọng.</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Nhiều nghiên cứu cho thấy sở hữu nước ngoài có tác động đến rủi ro của ngân hàng thương mại </w:t>
      </w:r>
      <w:r>
        <w:rPr>
          <w:rFonts w:ascii="Times New Roman" w:hAnsi="Times New Roman" w:cs="Times New Roman"/>
          <w:noProof/>
          <w:sz w:val="24"/>
          <w:szCs w:val="24"/>
        </w:rPr>
        <w:t>(Laeven 1999; Lee 2008; Saunders, Strock &amp; Travlos 1990)</w:t>
      </w:r>
      <w:r>
        <w:rPr>
          <w:rFonts w:ascii="Times New Roman" w:hAnsi="Times New Roman" w:cs="Times New Roman"/>
          <w:sz w:val="24"/>
          <w:szCs w:val="24"/>
        </w:rPr>
        <w:t xml:space="preserve">. Tuy nhiên, các nghiên cứu trước chủ yếu nghiên cứu ảnh hưởng của sở hữu nước ngoài đến rủi ro tín dụng hoặc rủi ro hoạt động. Đối với rủi ro thanh khoản, một số nghiên cứu đã xem xét </w:t>
      </w:r>
      <w:r w:rsidRPr="00CE2C96">
        <w:rPr>
          <w:rFonts w:ascii="Times New Roman" w:hAnsi="Times New Roman" w:cs="Times New Roman"/>
          <w:sz w:val="24"/>
          <w:szCs w:val="24"/>
        </w:rPr>
        <w:t>ảnh hưởn</w:t>
      </w:r>
      <w:r>
        <w:rPr>
          <w:rFonts w:ascii="Times New Roman" w:hAnsi="Times New Roman" w:cs="Times New Roman"/>
          <w:sz w:val="24"/>
          <w:szCs w:val="24"/>
        </w:rPr>
        <w:t>g của ngân hàng nước ngoài đến thanh khoản</w:t>
      </w:r>
      <w:r w:rsidRPr="00CE2C96">
        <w:rPr>
          <w:rFonts w:ascii="Times New Roman" w:hAnsi="Times New Roman" w:cs="Times New Roman"/>
          <w:sz w:val="24"/>
          <w:szCs w:val="24"/>
        </w:rPr>
        <w:t xml:space="preserve"> hệ thống ngân hàng</w:t>
      </w:r>
      <w:r>
        <w:rPr>
          <w:rFonts w:ascii="Times New Roman" w:hAnsi="Times New Roman" w:cs="Times New Roman"/>
          <w:sz w:val="24"/>
          <w:szCs w:val="24"/>
        </w:rPr>
        <w:t xml:space="preserve"> nhưng kết quả trái ngược nhau</w:t>
      </w:r>
      <w:r w:rsidRPr="00CE2C96">
        <w:rPr>
          <w:rFonts w:ascii="Times New Roman" w:hAnsi="Times New Roman" w:cs="Times New Roman"/>
          <w:sz w:val="24"/>
          <w:szCs w:val="24"/>
        </w:rPr>
        <w:t>.</w:t>
      </w:r>
      <w:r>
        <w:rPr>
          <w:rFonts w:ascii="Times New Roman" w:hAnsi="Times New Roman" w:cs="Times New Roman"/>
          <w:sz w:val="24"/>
          <w:szCs w:val="24"/>
        </w:rPr>
        <w:t xml:space="preserve"> Ví dụ, một số nghiên cứu </w:t>
      </w:r>
      <w:r w:rsidRPr="00CE2C96">
        <w:rPr>
          <w:rFonts w:ascii="Times New Roman" w:hAnsi="Times New Roman" w:cs="Times New Roman"/>
          <w:sz w:val="24"/>
          <w:szCs w:val="24"/>
        </w:rPr>
        <w:t>cho rằng ngân hàng nước ngoài làm tăng nguy cơ lây lan rủi ro cho hệ thống ngân hàng ở các nước phát triển</w:t>
      </w:r>
      <w:r>
        <w:rPr>
          <w:rFonts w:ascii="Times New Roman" w:hAnsi="Times New Roman" w:cs="Times New Roman"/>
          <w:sz w:val="24"/>
          <w:szCs w:val="24"/>
        </w:rPr>
        <w:t xml:space="preserve"> </w:t>
      </w:r>
      <w:r>
        <w:rPr>
          <w:rFonts w:ascii="Times New Roman" w:hAnsi="Times New Roman"/>
          <w:noProof/>
          <w:sz w:val="24"/>
          <w:szCs w:val="24"/>
        </w:rPr>
        <w:t>(Goodhart &amp; Schoenmaker 2006; Schinasi &amp; Teixeira 2006; Schoenmaker &amp; Oosterloo 2007)</w:t>
      </w:r>
      <w:r w:rsidRPr="00CE2C96">
        <w:rPr>
          <w:rFonts w:ascii="Times New Roman" w:hAnsi="Times New Roman" w:cs="Times New Roman"/>
          <w:sz w:val="24"/>
          <w:szCs w:val="24"/>
        </w:rPr>
        <w:t xml:space="preserve">. </w:t>
      </w:r>
      <w:r>
        <w:rPr>
          <w:rFonts w:ascii="Times New Roman" w:hAnsi="Times New Roman" w:cs="Times New Roman"/>
          <w:sz w:val="24"/>
          <w:szCs w:val="24"/>
        </w:rPr>
        <w:t>Trong khi đó, một số</w:t>
      </w:r>
      <w:r w:rsidRPr="00CE2C96">
        <w:rPr>
          <w:rFonts w:ascii="Times New Roman" w:hAnsi="Times New Roman" w:cs="Times New Roman"/>
          <w:sz w:val="24"/>
          <w:szCs w:val="24"/>
        </w:rPr>
        <w:t xml:space="preserve"> nghiên cứu </w:t>
      </w:r>
      <w:r>
        <w:rPr>
          <w:rFonts w:ascii="Times New Roman" w:hAnsi="Times New Roman" w:cs="Times New Roman"/>
          <w:sz w:val="24"/>
          <w:szCs w:val="24"/>
        </w:rPr>
        <w:t xml:space="preserve">khác sử dụng mẫu dữ liệu của </w:t>
      </w:r>
      <w:r w:rsidRPr="00CE2C96">
        <w:rPr>
          <w:rFonts w:ascii="Times New Roman" w:hAnsi="Times New Roman" w:cs="Times New Roman"/>
          <w:sz w:val="24"/>
          <w:szCs w:val="24"/>
        </w:rPr>
        <w:t>các nước đang phát triển lại khẳng định rằng</w:t>
      </w:r>
      <w:r w:rsidRPr="00CE2C96">
        <w:rPr>
          <w:rFonts w:ascii="Times New Roman" w:hAnsi="Times New Roman"/>
          <w:sz w:val="24"/>
          <w:szCs w:val="24"/>
        </w:rPr>
        <w:t xml:space="preserve"> </w:t>
      </w:r>
      <w:r w:rsidRPr="00CE2C96">
        <w:rPr>
          <w:rFonts w:ascii="Times New Roman" w:hAnsi="Times New Roman" w:cs="Times New Roman"/>
          <w:sz w:val="24"/>
          <w:szCs w:val="24"/>
        </w:rPr>
        <w:t xml:space="preserve">các ngân hàng nước ngoài có vai trò làm ổn định thanh khoản và làm giảm rủi ro thanh khoản hệ thống ngân hàng bản địa </w:t>
      </w:r>
      <w:r>
        <w:rPr>
          <w:rFonts w:ascii="Times New Roman" w:hAnsi="Times New Roman" w:cs="Times New Roman"/>
          <w:noProof/>
          <w:sz w:val="24"/>
          <w:szCs w:val="24"/>
        </w:rPr>
        <w:t>(Demirguc-Kunt et al. 1998; Detragiache &amp; Gupta 2004; Freixas &amp; Holthausen 2005)</w:t>
      </w:r>
      <w:r>
        <w:rPr>
          <w:rFonts w:ascii="Times New Roman" w:hAnsi="Times New Roman" w:cs="Times New Roman"/>
          <w:sz w:val="24"/>
          <w:szCs w:val="24"/>
        </w:rPr>
        <w:t>.</w:t>
      </w:r>
    </w:p>
    <w:p w:rsidR="00433FFF" w:rsidRDefault="00433FFF" w:rsidP="001E7A86">
      <w:pPr>
        <w:spacing w:before="120" w:after="120" w:line="240" w:lineRule="auto"/>
        <w:ind w:firstLine="720"/>
        <w:jc w:val="both"/>
        <w:rPr>
          <w:rFonts w:ascii="Times New Roman" w:hAnsi="Times New Roman" w:cs="Times New Roman"/>
          <w:sz w:val="24"/>
          <w:szCs w:val="24"/>
        </w:rPr>
      </w:pPr>
      <w:r w:rsidRPr="00CE2C96">
        <w:rPr>
          <w:rFonts w:ascii="Times New Roman" w:hAnsi="Times New Roman" w:cs="Times New Roman"/>
          <w:sz w:val="24"/>
          <w:szCs w:val="24"/>
        </w:rPr>
        <w:t xml:space="preserve">Ở Việt Nam, vấn đề ảnh hưởng của ngân hàng nước ngoài đến thanh khoản của các ngân hàng thương mại lần đầu tiên được nghiên cứu bởi </w:t>
      </w:r>
      <w:r>
        <w:rPr>
          <w:rFonts w:ascii="Times New Roman" w:hAnsi="Times New Roman" w:cs="Times New Roman"/>
          <w:noProof/>
          <w:sz w:val="24"/>
          <w:szCs w:val="24"/>
        </w:rPr>
        <w:t>Võ Xuân Vinh &amp; Mai Xuân Đức (2016)</w:t>
      </w:r>
      <w:r w:rsidRPr="00CE2C96">
        <w:rPr>
          <w:rFonts w:ascii="Times New Roman" w:hAnsi="Times New Roman" w:cs="Times New Roman"/>
          <w:sz w:val="24"/>
          <w:szCs w:val="24"/>
        </w:rPr>
        <w:t xml:space="preserve">. </w:t>
      </w:r>
      <w:r>
        <w:rPr>
          <w:rFonts w:ascii="Times New Roman" w:hAnsi="Times New Roman" w:cs="Times New Roman"/>
          <w:sz w:val="24"/>
          <w:szCs w:val="24"/>
        </w:rPr>
        <w:t>Kết quả của nghiên cứu trên</w:t>
      </w:r>
      <w:r w:rsidRPr="00CE2C96">
        <w:rPr>
          <w:rFonts w:ascii="Times New Roman" w:hAnsi="Times New Roman" w:cs="Times New Roman"/>
          <w:sz w:val="24"/>
          <w:szCs w:val="24"/>
        </w:rPr>
        <w:t xml:space="preserve"> </w:t>
      </w:r>
      <w:r>
        <w:rPr>
          <w:rFonts w:ascii="Times New Roman" w:hAnsi="Times New Roman" w:cs="Times New Roman"/>
          <w:sz w:val="24"/>
          <w:szCs w:val="24"/>
        </w:rPr>
        <w:t>cho thấy rằng</w:t>
      </w:r>
      <w:r w:rsidRPr="00CE2C96">
        <w:rPr>
          <w:rFonts w:ascii="Times New Roman" w:hAnsi="Times New Roman" w:cs="Times New Roman"/>
          <w:sz w:val="24"/>
          <w:szCs w:val="24"/>
        </w:rPr>
        <w:t xml:space="preserve"> </w:t>
      </w:r>
      <w:r>
        <w:rPr>
          <w:rFonts w:ascii="Times New Roman" w:hAnsi="Times New Roman" w:cs="Times New Roman"/>
          <w:sz w:val="24"/>
          <w:szCs w:val="24"/>
        </w:rPr>
        <w:t>khối</w:t>
      </w:r>
      <w:r w:rsidRPr="00CE2C96">
        <w:rPr>
          <w:rFonts w:ascii="Times New Roman" w:hAnsi="Times New Roman" w:cs="Times New Roman"/>
          <w:sz w:val="24"/>
          <w:szCs w:val="24"/>
        </w:rPr>
        <w:t xml:space="preserve"> ngân hàng nước ngoài</w:t>
      </w:r>
      <w:r>
        <w:rPr>
          <w:rFonts w:ascii="Times New Roman" w:hAnsi="Times New Roman" w:cs="Times New Roman"/>
          <w:sz w:val="24"/>
          <w:szCs w:val="24"/>
        </w:rPr>
        <w:t xml:space="preserve"> có</w:t>
      </w:r>
      <w:r w:rsidRPr="00CE2C96">
        <w:rPr>
          <w:rFonts w:ascii="Times New Roman" w:hAnsi="Times New Roman" w:cs="Times New Roman"/>
          <w:sz w:val="24"/>
          <w:szCs w:val="24"/>
        </w:rPr>
        <w:t xml:space="preserve"> thanh khoản tốt hơn (rủi ro thanh khoản thấp hơn)</w:t>
      </w:r>
      <w:r>
        <w:rPr>
          <w:rFonts w:ascii="Times New Roman" w:hAnsi="Times New Roman" w:cs="Times New Roman"/>
          <w:sz w:val="24"/>
          <w:szCs w:val="24"/>
        </w:rPr>
        <w:t xml:space="preserve"> </w:t>
      </w:r>
      <w:r w:rsidRPr="00CE2C96">
        <w:rPr>
          <w:rFonts w:ascii="Times New Roman" w:hAnsi="Times New Roman" w:cs="Times New Roman"/>
          <w:sz w:val="24"/>
          <w:szCs w:val="24"/>
        </w:rPr>
        <w:t>các ngân hàng trong nước</w:t>
      </w:r>
      <w:r>
        <w:rPr>
          <w:rFonts w:ascii="Times New Roman" w:hAnsi="Times New Roman" w:cs="Times New Roman"/>
          <w:sz w:val="24"/>
          <w:szCs w:val="24"/>
        </w:rPr>
        <w:t>.</w:t>
      </w:r>
      <w:r>
        <w:rPr>
          <w:rFonts w:ascii="Times New Roman" w:hAnsi="Times New Roman" w:cs="Times New Roman"/>
          <w:sz w:val="24"/>
          <w:szCs w:val="24"/>
          <w:vertAlign w:val="superscript"/>
        </w:rPr>
        <w:t>3</w:t>
      </w:r>
      <w:r w:rsidRPr="00CE2C96">
        <w:rPr>
          <w:rFonts w:ascii="Times New Roman" w:hAnsi="Times New Roman" w:cs="Times New Roman"/>
          <w:sz w:val="24"/>
          <w:szCs w:val="24"/>
        </w:rPr>
        <w:t xml:space="preserve"> </w:t>
      </w:r>
      <w:r>
        <w:rPr>
          <w:rFonts w:ascii="Times New Roman" w:hAnsi="Times New Roman" w:cs="Times New Roman"/>
          <w:sz w:val="24"/>
          <w:szCs w:val="24"/>
        </w:rPr>
        <w:t>Ngoài ra</w:t>
      </w:r>
      <w:r w:rsidRPr="00CE2C96">
        <w:rPr>
          <w:rFonts w:ascii="Times New Roman" w:hAnsi="Times New Roman" w:cs="Times New Roman"/>
          <w:sz w:val="24"/>
          <w:szCs w:val="24"/>
        </w:rPr>
        <w:t xml:space="preserve">, các ngân hàng nước ngoài còn đóng </w:t>
      </w:r>
      <w:r w:rsidRPr="00CE2C96">
        <w:rPr>
          <w:rFonts w:ascii="Times New Roman" w:hAnsi="Times New Roman" w:cs="Times New Roman"/>
          <w:sz w:val="24"/>
          <w:szCs w:val="24"/>
        </w:rPr>
        <w:lastRenderedPageBreak/>
        <w:t>vai trò hỗ trợ thanh khoản cho các ngân hàng thương mại Việt Nam thông quá kênh cho vay trên thị trường liên ngân hàng.</w:t>
      </w:r>
    </w:p>
    <w:p w:rsidR="00433FFF" w:rsidRPr="00EB62C3" w:rsidRDefault="00433FFF" w:rsidP="001E7A86">
      <w:pPr>
        <w:jc w:val="both"/>
        <w:rPr>
          <w:rFonts w:ascii="Times New Roman" w:hAnsi="Times New Roman" w:cs="Times New Roman"/>
          <w:sz w:val="24"/>
          <w:szCs w:val="24"/>
        </w:rPr>
      </w:pPr>
      <w:r w:rsidRPr="009264DD">
        <w:rPr>
          <w:rFonts w:ascii="Times New Roman" w:hAnsi="Times New Roman" w:cs="Times New Roman"/>
          <w:b/>
          <w:sz w:val="24"/>
          <w:szCs w:val="24"/>
        </w:rPr>
        <w:t>3</w:t>
      </w:r>
      <w:r>
        <w:rPr>
          <w:rFonts w:ascii="Times New Roman" w:hAnsi="Times New Roman" w:cs="Times New Roman"/>
          <w:b/>
          <w:sz w:val="24"/>
          <w:szCs w:val="24"/>
        </w:rPr>
        <w:t>.</w:t>
      </w:r>
      <w:r w:rsidRPr="009264DD">
        <w:rPr>
          <w:rFonts w:ascii="Times New Roman" w:hAnsi="Times New Roman" w:cs="Times New Roman"/>
          <w:b/>
          <w:sz w:val="24"/>
          <w:szCs w:val="24"/>
        </w:rPr>
        <w:t xml:space="preserve"> Phương pháp nghiên cứu</w:t>
      </w:r>
    </w:p>
    <w:p w:rsidR="00433FFF" w:rsidRPr="009264DD" w:rsidRDefault="00433FFF" w:rsidP="001E7A86">
      <w:pPr>
        <w:spacing w:before="120" w:after="120" w:line="240" w:lineRule="auto"/>
        <w:jc w:val="both"/>
        <w:rPr>
          <w:rFonts w:ascii="Times New Roman" w:hAnsi="Times New Roman" w:cs="Times New Roman"/>
          <w:b/>
          <w:i/>
          <w:sz w:val="24"/>
          <w:szCs w:val="24"/>
        </w:rPr>
      </w:pPr>
      <w:r w:rsidRPr="009264DD">
        <w:rPr>
          <w:rFonts w:ascii="Times New Roman" w:hAnsi="Times New Roman" w:cs="Times New Roman"/>
          <w:b/>
          <w:i/>
          <w:sz w:val="24"/>
          <w:szCs w:val="24"/>
        </w:rPr>
        <w:t>3.</w:t>
      </w:r>
      <w:r>
        <w:rPr>
          <w:rFonts w:ascii="Times New Roman" w:hAnsi="Times New Roman" w:cs="Times New Roman"/>
          <w:b/>
          <w:i/>
          <w:sz w:val="24"/>
          <w:szCs w:val="24"/>
        </w:rPr>
        <w:t>1.</w:t>
      </w:r>
      <w:r w:rsidRPr="009264DD">
        <w:rPr>
          <w:rFonts w:ascii="Times New Roman" w:hAnsi="Times New Roman" w:cs="Times New Roman"/>
          <w:b/>
          <w:i/>
          <w:sz w:val="24"/>
          <w:szCs w:val="24"/>
        </w:rPr>
        <w:t xml:space="preserve"> Mô hình nghiên cứu</w:t>
      </w:r>
    </w:p>
    <w:p w:rsidR="00433FFF" w:rsidRPr="007A73B4" w:rsidRDefault="00433FFF" w:rsidP="001E7A86">
      <w:pPr>
        <w:spacing w:before="120" w:after="120" w:line="240" w:lineRule="auto"/>
        <w:ind w:firstLine="720"/>
        <w:jc w:val="both"/>
        <w:rPr>
          <w:rFonts w:ascii="Times New Roman" w:hAnsi="Times New Roman" w:cs="Times New Roman"/>
          <w:sz w:val="24"/>
          <w:szCs w:val="24"/>
        </w:rPr>
      </w:pPr>
      <w:bookmarkStart w:id="3" w:name="OLE_LINK37"/>
      <w:bookmarkStart w:id="4" w:name="OLE_LINK38"/>
      <w:r>
        <w:rPr>
          <w:rFonts w:ascii="Times New Roman" w:hAnsi="Times New Roman" w:cs="Times New Roman"/>
          <w:sz w:val="24"/>
          <w:szCs w:val="24"/>
        </w:rPr>
        <w:t>Bài báo</w:t>
      </w:r>
      <w:r w:rsidRPr="007A73B4">
        <w:rPr>
          <w:rFonts w:ascii="Times New Roman" w:hAnsi="Times New Roman" w:cs="Times New Roman"/>
          <w:sz w:val="24"/>
          <w:szCs w:val="24"/>
        </w:rPr>
        <w:t xml:space="preserve"> đề xuất mô hình như sau</w:t>
      </w:r>
    </w:p>
    <w:p w:rsidR="00433FFF" w:rsidRPr="009264DD" w:rsidRDefault="003B15BB" w:rsidP="001E7A86">
      <w:pPr>
        <w:spacing w:before="120" w:after="120" w:line="240" w:lineRule="auto"/>
        <w:jc w:val="center"/>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eastAsia="Cambria Math" w:hAnsi="Cambria Math" w:cs="Times New Roman"/>
                <w:sz w:val="24"/>
                <w:szCs w:val="24"/>
              </w:rPr>
              <m:t>LR</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sub>
            </m:sSub>
            <m:r>
              <w:rPr>
                <w:rFonts w:ascii="Cambria Math" w:eastAsia="Cambria Math" w:hAnsi="Cambria Math" w:cs="Times New Roman"/>
                <w:sz w:val="24"/>
                <w:szCs w:val="24"/>
              </w:rPr>
              <m:t>*FOWN</m:t>
            </m:r>
          </m:e>
          <m:sub>
            <m:r>
              <w:rPr>
                <w:rFonts w:ascii="Cambria Math" w:eastAsia="Cambria Math" w:hAnsi="Cambria Math" w:cs="Times New Roman"/>
                <w:sz w:val="24"/>
                <w:szCs w:val="24"/>
              </w:rPr>
              <m:t>i</m:t>
            </m:r>
            <m:r>
              <w:rPr>
                <w:rFonts w:ascii="Cambria Math" w:eastAsia="Cambria Math" w:hAnsi="Times New Roman" w:cs="Times New Roman"/>
                <w:sz w:val="24"/>
                <w:szCs w:val="24"/>
              </w:rPr>
              <m:t>,</m:t>
            </m:r>
            <m:r>
              <w:rPr>
                <w:rFonts w:ascii="Cambria Math" w:eastAsia="Cambria Math" w:hAnsi="Cambria Math" w:cs="Times New Roman"/>
                <w:sz w:val="24"/>
                <w:szCs w:val="24"/>
              </w:rPr>
              <m:t>t</m:t>
            </m:r>
          </m:sub>
        </m:sSub>
        <m:r>
          <w:rPr>
            <w:rFonts w:ascii="Cambria Math" w:hAnsi="Times New Roman" w:cs="Times New Roman"/>
            <w:sz w:val="24"/>
            <w:szCs w:val="24"/>
          </w:rPr>
          <m:t xml:space="preserve">+ </m:t>
        </m:r>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Times New Roman" w:cs="Times New Roman"/>
                    <w:sz w:val="24"/>
                    <w:szCs w:val="24"/>
                  </w:rPr>
                  <m:t>4</m:t>
                </m:r>
              </m:sub>
            </m:sSub>
            <m:r>
              <w:rPr>
                <w:rFonts w:ascii="Cambria Math" w:hAnsi="Times New Roman" w:cs="Times New Roman"/>
                <w:sz w:val="24"/>
                <w:szCs w:val="24"/>
              </w:rPr>
              <m:t>*</m:t>
            </m:r>
            <m:r>
              <w:rPr>
                <w:rFonts w:ascii="Cambria Math" w:hAnsi="Times New Roman" w:cs="Times New Roman"/>
                <w:sz w:val="24"/>
                <w:szCs w:val="24"/>
              </w:rPr>
              <m:t>X</m:t>
            </m:r>
          </m:e>
          <m:sub>
            <m:r>
              <w:rPr>
                <w:rFonts w:ascii="Cambria Math" w:eastAsia="Cambria Math" w:hAnsi="Cambria Math" w:cs="Times New Roman"/>
                <w:sz w:val="24"/>
                <w:szCs w:val="24"/>
              </w:rPr>
              <m:t>i,t</m:t>
            </m:r>
          </m:sub>
        </m:sSub>
        <m:r>
          <w:rPr>
            <w:rFonts w:ascii="Cambria Math" w:hAnsi="Times New Roman" w:cs="Times New Roman"/>
            <w:sz w:val="24"/>
            <w:szCs w:val="24"/>
          </w:rPr>
          <m:t xml:space="preserve">+ </m:t>
        </m:r>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Times New Roman" w:cs="Times New Roman"/>
                    <w:sz w:val="24"/>
                    <w:szCs w:val="24"/>
                  </w:rPr>
                  <m:t>5</m:t>
                </m:r>
              </m:sub>
            </m:sSub>
            <m:r>
              <w:rPr>
                <w:rFonts w:ascii="Cambria Math" w:hAnsi="Cambria Math" w:cs="Times New Roman"/>
                <w:sz w:val="24"/>
                <w:szCs w:val="24"/>
              </w:rPr>
              <m:t>*Z</m:t>
            </m:r>
          </m:e>
          <m:sub>
            <m:r>
              <w:rPr>
                <w:rFonts w:ascii="Cambria Math" w:eastAsia="Cambria Math" w:hAnsi="Cambria Math" w:cs="Times New Roman"/>
                <w:sz w:val="24"/>
                <w:szCs w:val="24"/>
              </w:rPr>
              <m:t>t</m:t>
            </m:r>
          </m:sub>
        </m:sSub>
        <m:r>
          <w:rPr>
            <w:rFonts w:ascii="Cambria Math" w:hAnsi="Times New Roman" w:cs="Times New Roman"/>
            <w:sz w:val="24"/>
            <w:szCs w:val="24"/>
          </w:rPr>
          <m:t>+</m:t>
        </m:r>
        <w:bookmarkStart w:id="5" w:name="OLE_LINK35"/>
        <w:bookmarkStart w:id="6" w:name="OLE_LINK36"/>
        <m:sSub>
          <m:sSubPr>
            <m:ctrlPr>
              <w:rPr>
                <w:rFonts w:ascii="Cambria Math" w:hAnsi="Times New Roman" w:cs="Times New Roman"/>
                <w:sz w:val="24"/>
                <w:szCs w:val="24"/>
              </w:rPr>
            </m:ctrlPr>
          </m:sSubPr>
          <m:e>
            <m:r>
              <m:rPr>
                <m:sty m:val="p"/>
              </m:rPr>
              <w:rPr>
                <w:rFonts w:ascii="Cambria Math" w:hAnsi="Times New Roman" w:cs="Times New Roman"/>
                <w:sz w:val="24"/>
                <w:szCs w:val="24"/>
              </w:rPr>
              <m:t>ε</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oMath>
      <w:bookmarkEnd w:id="5"/>
      <w:bookmarkEnd w:id="6"/>
      <w:r w:rsidR="00433FFF" w:rsidRPr="009264DD">
        <w:rPr>
          <w:rFonts w:ascii="Times New Roman" w:hAnsi="Times New Roman" w:cs="Times New Roman"/>
          <w:sz w:val="24"/>
          <w:szCs w:val="24"/>
        </w:rPr>
        <w:t>.</w:t>
      </w:r>
      <w:bookmarkEnd w:id="3"/>
      <w:bookmarkEnd w:id="4"/>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đó, </w:t>
      </w:r>
      <w:r w:rsidRPr="009264DD">
        <w:rPr>
          <w:rFonts w:ascii="Times New Roman" w:hAnsi="Times New Roman" w:cs="Times New Roman"/>
          <w:sz w:val="24"/>
          <w:szCs w:val="24"/>
        </w:rPr>
        <w:t>X</w:t>
      </w:r>
      <w:r w:rsidRPr="009264DD">
        <w:rPr>
          <w:rFonts w:ascii="Times New Roman" w:hAnsi="Times New Roman" w:cs="Times New Roman"/>
          <w:sz w:val="24"/>
          <w:szCs w:val="24"/>
          <w:vertAlign w:val="subscript"/>
        </w:rPr>
        <w:t xml:space="preserve">i,t </w:t>
      </w:r>
      <w:r>
        <w:rPr>
          <w:rFonts w:ascii="Times New Roman" w:hAnsi="Times New Roman" w:cs="Times New Roman"/>
          <w:sz w:val="24"/>
          <w:szCs w:val="24"/>
        </w:rPr>
        <w:t xml:space="preserve">là một </w:t>
      </w:r>
      <w:r w:rsidRPr="009264DD">
        <w:rPr>
          <w:rFonts w:ascii="Times New Roman" w:hAnsi="Times New Roman" w:cs="Times New Roman"/>
          <w:sz w:val="24"/>
          <w:szCs w:val="24"/>
        </w:rPr>
        <w:t xml:space="preserve">véc tơ </w:t>
      </w:r>
      <w:r>
        <w:rPr>
          <w:rFonts w:ascii="Times New Roman" w:hAnsi="Times New Roman" w:cs="Times New Roman"/>
          <w:sz w:val="24"/>
          <w:szCs w:val="24"/>
        </w:rPr>
        <w:t xml:space="preserve">bao gồm </w:t>
      </w:r>
      <w:r w:rsidRPr="009264DD">
        <w:rPr>
          <w:rFonts w:ascii="Times New Roman" w:hAnsi="Times New Roman" w:cs="Times New Roman"/>
          <w:sz w:val="24"/>
          <w:szCs w:val="24"/>
        </w:rPr>
        <w:t xml:space="preserve">các biến kiểm soát </w:t>
      </w:r>
      <w:r>
        <w:rPr>
          <w:rFonts w:ascii="Times New Roman" w:hAnsi="Times New Roman" w:cs="Times New Roman"/>
          <w:sz w:val="24"/>
          <w:szCs w:val="24"/>
        </w:rPr>
        <w:t>thể hiện đặc trưng của</w:t>
      </w:r>
      <w:r w:rsidRPr="009264DD">
        <w:rPr>
          <w:rFonts w:ascii="Times New Roman" w:hAnsi="Times New Roman" w:cs="Times New Roman"/>
          <w:sz w:val="24"/>
          <w:szCs w:val="24"/>
        </w:rPr>
        <w:t xml:space="preserve"> ngân hàng i </w:t>
      </w:r>
      <w:r>
        <w:rPr>
          <w:rFonts w:ascii="Times New Roman" w:hAnsi="Times New Roman" w:cs="Times New Roman"/>
          <w:sz w:val="24"/>
          <w:szCs w:val="24"/>
        </w:rPr>
        <w:t>ở năm</w:t>
      </w:r>
      <w:r w:rsidRPr="009264DD">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9264DD">
        <w:rPr>
          <w:rFonts w:ascii="Times New Roman" w:hAnsi="Times New Roman" w:cs="Times New Roman"/>
          <w:sz w:val="24"/>
          <w:szCs w:val="24"/>
        </w:rPr>
        <w:t>Z</w:t>
      </w:r>
      <w:r w:rsidRPr="009264DD">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bao gồm </w:t>
      </w:r>
      <w:r w:rsidRPr="009264DD">
        <w:rPr>
          <w:rFonts w:ascii="Times New Roman" w:hAnsi="Times New Roman" w:cs="Times New Roman"/>
          <w:sz w:val="24"/>
          <w:szCs w:val="24"/>
        </w:rPr>
        <w:t xml:space="preserve">các biến kiểm soát ở cấp độ vĩ mô </w:t>
      </w:r>
      <w:r>
        <w:rPr>
          <w:rFonts w:ascii="Times New Roman" w:hAnsi="Times New Roman" w:cs="Times New Roman"/>
          <w:sz w:val="24"/>
          <w:szCs w:val="24"/>
        </w:rPr>
        <w:t>ở năm</w:t>
      </w:r>
      <w:r w:rsidRPr="009264DD">
        <w:rPr>
          <w:rFonts w:ascii="Times New Roman" w:hAnsi="Times New Roman" w:cs="Times New Roman"/>
          <w:sz w:val="24"/>
          <w:szCs w:val="24"/>
        </w:rPr>
        <w:t xml:space="preserve"> t</w:t>
      </w:r>
      <w:r>
        <w:rPr>
          <w:rFonts w:ascii="Times New Roman" w:hAnsi="Times New Roman" w:cs="Times New Roman"/>
          <w:sz w:val="24"/>
          <w:szCs w:val="24"/>
        </w:rPr>
        <w:t xml:space="preserve">; </w:t>
      </w:r>
      <w:bookmarkStart w:id="7" w:name="OLE_LINK9"/>
      <w:bookmarkStart w:id="8" w:name="OLE_LINK10"/>
      <w:r>
        <w:rPr>
          <w:rFonts w:ascii="Times New Roman" w:hAnsi="Times New Roman" w:cs="Times New Roman"/>
          <w:sz w:val="24"/>
          <w:szCs w:val="24"/>
        </w:rPr>
        <w:t xml:space="preserve">và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ε</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oMath>
      <w:r w:rsidRPr="009264DD">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9264DD">
        <w:rPr>
          <w:rFonts w:ascii="Times New Roman" w:hAnsi="Times New Roman" w:cs="Times New Roman"/>
          <w:sz w:val="24"/>
          <w:szCs w:val="24"/>
        </w:rPr>
        <w:t>sai số không quan sát được</w:t>
      </w:r>
      <w:bookmarkEnd w:id="7"/>
      <w:bookmarkEnd w:id="8"/>
      <w:r>
        <w:rPr>
          <w:rFonts w:ascii="Times New Roman" w:hAnsi="Times New Roman" w:cs="Times New Roman"/>
          <w:sz w:val="24"/>
          <w:szCs w:val="24"/>
        </w:rPr>
        <w:t>.</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Các biến trong mô hình được giải thích như sau: </w:t>
      </w:r>
    </w:p>
    <w:p w:rsidR="00433FFF" w:rsidRPr="009264DD" w:rsidRDefault="00433FFF" w:rsidP="001E7A86">
      <w:pPr>
        <w:spacing w:before="120" w:after="120" w:line="240" w:lineRule="auto"/>
        <w:ind w:firstLine="720"/>
        <w:jc w:val="both"/>
        <w:rPr>
          <w:rFonts w:ascii="Times New Roman" w:hAnsi="Times New Roman" w:cs="Times New Roman"/>
          <w:sz w:val="24"/>
          <w:szCs w:val="24"/>
        </w:rPr>
      </w:pPr>
      <w:r w:rsidRPr="00F03746">
        <w:rPr>
          <w:rFonts w:ascii="Times New Roman" w:hAnsi="Times New Roman" w:cs="Times New Roman"/>
          <w:sz w:val="24"/>
          <w:szCs w:val="24"/>
        </w:rPr>
        <w:t xml:space="preserve">Biến phụ </w:t>
      </w:r>
      <w:r w:rsidRPr="00A57BB4">
        <w:rPr>
          <w:rFonts w:ascii="Times New Roman" w:hAnsi="Times New Roman" w:cs="Times New Roman"/>
          <w:sz w:val="24"/>
          <w:szCs w:val="24"/>
        </w:rPr>
        <w:t xml:space="preserve">thuộc </w:t>
      </w:r>
      <m:oMath>
        <m:sSub>
          <m:sSubPr>
            <m:ctrlPr>
              <w:rPr>
                <w:rFonts w:ascii="Cambria Math" w:hAnsi="Times New Roman" w:cs="Times New Roman"/>
                <w:b/>
                <w:sz w:val="24"/>
                <w:szCs w:val="24"/>
              </w:rPr>
            </m:ctrlPr>
          </m:sSubPr>
          <m:e>
            <m:r>
              <m:rPr>
                <m:sty m:val="b"/>
              </m:rPr>
              <w:rPr>
                <w:rFonts w:ascii="Cambria Math" w:eastAsia="Cambria Math" w:hAnsi="Cambria Math" w:cs="Times New Roman"/>
                <w:sz w:val="24"/>
                <w:szCs w:val="24"/>
              </w:rPr>
              <m:t>LR</m:t>
            </m:r>
          </m:e>
          <m:sub>
            <m:r>
              <m:rPr>
                <m:sty m:val="b"/>
              </m:rPr>
              <w:rPr>
                <w:rFonts w:ascii="Cambria Math" w:hAnsi="Cambria Math" w:cs="Times New Roman"/>
                <w:sz w:val="24"/>
                <w:szCs w:val="24"/>
              </w:rPr>
              <m:t>i</m:t>
            </m:r>
            <m:r>
              <m:rPr>
                <m:sty m:val="b"/>
              </m:rPr>
              <w:rPr>
                <w:rFonts w:ascii="Cambria Math" w:hAnsi="Times New Roman" w:cs="Times New Roman"/>
                <w:sz w:val="24"/>
                <w:szCs w:val="24"/>
              </w:rPr>
              <m:t>,</m:t>
            </m:r>
            <m:r>
              <m:rPr>
                <m:sty m:val="b"/>
              </m:rPr>
              <w:rPr>
                <w:rFonts w:ascii="Cambria Math" w:hAnsi="Cambria Math" w:cs="Times New Roman"/>
                <w:sz w:val="24"/>
                <w:szCs w:val="24"/>
              </w:rPr>
              <m:t>t</m:t>
            </m:r>
          </m:sub>
        </m:sSub>
        <m:r>
          <m:rPr>
            <m:sty m:val="p"/>
          </m:rPr>
          <w:rPr>
            <w:rFonts w:ascii="Cambria Math" w:hAnsi="Times New Roman" w:cs="Times New Roman"/>
            <w:sz w:val="24"/>
            <w:szCs w:val="24"/>
          </w:rPr>
          <m:t xml:space="preserve"> </m:t>
        </m:r>
      </m:oMath>
      <w:r w:rsidRPr="00A57BB4">
        <w:rPr>
          <w:rFonts w:ascii="Times New Roman" w:hAnsi="Times New Roman" w:cs="Times New Roman"/>
          <w:sz w:val="24"/>
          <w:szCs w:val="24"/>
        </w:rPr>
        <w:t>(Liquidity Risk)</w:t>
      </w:r>
      <w:r w:rsidRPr="009264DD">
        <w:rPr>
          <w:rFonts w:ascii="Times New Roman" w:hAnsi="Times New Roman" w:cs="Times New Roman"/>
          <w:b/>
          <w:i/>
          <w:sz w:val="24"/>
          <w:szCs w:val="24"/>
        </w:rPr>
        <w:t xml:space="preserve"> </w:t>
      </w:r>
      <w:r w:rsidRPr="009264DD">
        <w:rPr>
          <w:rFonts w:ascii="Times New Roman" w:hAnsi="Times New Roman" w:cs="Times New Roman"/>
          <w:sz w:val="24"/>
          <w:szCs w:val="24"/>
        </w:rPr>
        <w:t>là chỉ số thanh khoản đại diện đo lường mức độ rủi ro thanh khoản của ngân hàng i tại thời điểm</w:t>
      </w:r>
      <w:r>
        <w:rPr>
          <w:rFonts w:ascii="Times New Roman" w:hAnsi="Times New Roman" w:cs="Times New Roman"/>
          <w:sz w:val="24"/>
          <w:szCs w:val="24"/>
        </w:rPr>
        <w:t xml:space="preserve"> </w:t>
      </w:r>
      <w:r w:rsidRPr="001818FD">
        <w:rPr>
          <w:rFonts w:ascii="Times New Roman" w:hAnsi="Times New Roman" w:cs="Times New Roman"/>
          <w:sz w:val="24"/>
          <w:szCs w:val="24"/>
        </w:rPr>
        <w:t xml:space="preserve">năm t. </w:t>
      </w:r>
      <w:r>
        <w:rPr>
          <w:rFonts w:ascii="Times New Roman" w:hAnsi="Times New Roman" w:cs="Times New Roman"/>
          <w:sz w:val="24"/>
          <w:szCs w:val="24"/>
        </w:rPr>
        <w:t xml:space="preserve">Biến </w:t>
      </w:r>
      <w:r w:rsidRPr="001818FD">
        <w:rPr>
          <w:rFonts w:ascii="Times New Roman" w:hAnsi="Times New Roman" w:cs="Times New Roman"/>
          <w:sz w:val="24"/>
          <w:szCs w:val="24"/>
        </w:rPr>
        <w:t>LR</w:t>
      </w:r>
      <w:r w:rsidRPr="001818FD">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sidRPr="001818FD">
        <w:rPr>
          <w:rFonts w:ascii="Times New Roman" w:hAnsi="Times New Roman" w:cs="Times New Roman"/>
          <w:sz w:val="24"/>
          <w:szCs w:val="24"/>
        </w:rPr>
        <w:t>được đo lường bằng tỷ lệ cho vay trên tổng tài sản của ngân hàng.</w:t>
      </w:r>
      <w:r>
        <w:rPr>
          <w:rFonts w:ascii="Times New Roman" w:hAnsi="Times New Roman" w:cs="Times New Roman"/>
          <w:sz w:val="24"/>
          <w:szCs w:val="24"/>
        </w:rPr>
        <w:t xml:space="preserve"> </w:t>
      </w:r>
      <w:r w:rsidRPr="00586F9A">
        <w:rPr>
          <w:rFonts w:ascii="Times New Roman" w:hAnsi="Times New Roman" w:cs="Times New Roman"/>
          <w:sz w:val="24"/>
          <w:szCs w:val="24"/>
        </w:rPr>
        <w:t>Tỷ lệ này càng cao thì rủi ro thanh khoản của ngân hàng càng</w:t>
      </w:r>
      <w:r>
        <w:rPr>
          <w:rFonts w:ascii="Times New Roman" w:hAnsi="Times New Roman" w:cs="Times New Roman"/>
          <w:sz w:val="24"/>
          <w:szCs w:val="24"/>
        </w:rPr>
        <w:t xml:space="preserve"> cao </w:t>
      </w:r>
      <w:r>
        <w:rPr>
          <w:rFonts w:ascii="Times New Roman" w:hAnsi="Times New Roman" w:cs="Times New Roman"/>
          <w:noProof/>
          <w:sz w:val="24"/>
          <w:szCs w:val="24"/>
        </w:rPr>
        <w:t>(Athanasoglou et al. 2006; Demirgüç-Kunt &amp; Huizinga 1999; Vodova 2011)</w:t>
      </w:r>
      <w:r>
        <w:rPr>
          <w:rFonts w:ascii="Times New Roman" w:hAnsi="Times New Roman" w:cs="Times New Roman"/>
          <w:sz w:val="24"/>
          <w:szCs w:val="24"/>
        </w:rPr>
        <w:t>.</w:t>
      </w:r>
    </w:p>
    <w:p w:rsidR="00433FFF" w:rsidRPr="009264DD" w:rsidRDefault="00433FFF" w:rsidP="001E7A86">
      <w:pPr>
        <w:spacing w:before="120" w:after="120" w:line="240" w:lineRule="auto"/>
        <w:ind w:firstLine="720"/>
        <w:jc w:val="both"/>
        <w:rPr>
          <w:rFonts w:ascii="Times New Roman" w:hAnsi="Times New Roman" w:cs="Times New Roman"/>
          <w:sz w:val="24"/>
          <w:szCs w:val="24"/>
        </w:rPr>
      </w:pPr>
      <w:r w:rsidRPr="00931C76">
        <w:rPr>
          <w:rFonts w:ascii="Times New Roman" w:hAnsi="Times New Roman" w:cs="Times New Roman"/>
          <w:b/>
          <w:sz w:val="24"/>
          <w:szCs w:val="24"/>
        </w:rPr>
        <w:t>FOWN</w:t>
      </w:r>
      <w:r w:rsidRPr="00931C76">
        <w:rPr>
          <w:rFonts w:ascii="Times New Roman" w:hAnsi="Times New Roman" w:cs="Times New Roman"/>
          <w:b/>
          <w:sz w:val="24"/>
          <w:szCs w:val="24"/>
          <w:vertAlign w:val="subscript"/>
        </w:rPr>
        <w:t>i,t</w:t>
      </w:r>
      <w:r w:rsidRPr="009264DD">
        <w:rPr>
          <w:rFonts w:ascii="Times New Roman" w:hAnsi="Times New Roman" w:cs="Times New Roman"/>
          <w:sz w:val="24"/>
          <w:szCs w:val="24"/>
          <w:vertAlign w:val="subscript"/>
        </w:rPr>
        <w:t xml:space="preserve"> </w:t>
      </w:r>
      <w:r>
        <w:rPr>
          <w:rFonts w:ascii="Times New Roman" w:hAnsi="Times New Roman" w:cs="Times New Roman"/>
          <w:sz w:val="24"/>
          <w:szCs w:val="24"/>
        </w:rPr>
        <w:t>là biến đo lường</w:t>
      </w:r>
      <w:r w:rsidRPr="009264DD">
        <w:rPr>
          <w:rFonts w:ascii="Times New Roman" w:hAnsi="Times New Roman" w:cs="Times New Roman"/>
          <w:sz w:val="24"/>
          <w:szCs w:val="24"/>
        </w:rPr>
        <w:t xml:space="preserve"> mức độ sở hữu nước ngoài của ngân hàng i </w:t>
      </w:r>
      <w:r>
        <w:rPr>
          <w:rFonts w:ascii="Times New Roman" w:hAnsi="Times New Roman" w:cs="Times New Roman"/>
          <w:sz w:val="24"/>
          <w:szCs w:val="24"/>
        </w:rPr>
        <w:t>ở năm</w:t>
      </w:r>
      <w:r w:rsidRPr="009264DD">
        <w:rPr>
          <w:rFonts w:ascii="Times New Roman" w:hAnsi="Times New Roman" w:cs="Times New Roman"/>
          <w:sz w:val="24"/>
          <w:szCs w:val="24"/>
        </w:rPr>
        <w:t xml:space="preserve"> t. Biến này được </w:t>
      </w:r>
      <w:r>
        <w:rPr>
          <w:rFonts w:ascii="Times New Roman" w:hAnsi="Times New Roman" w:cs="Times New Roman"/>
          <w:sz w:val="24"/>
          <w:szCs w:val="24"/>
        </w:rPr>
        <w:t>tính</w:t>
      </w:r>
      <w:r w:rsidRPr="009264DD">
        <w:rPr>
          <w:rFonts w:ascii="Times New Roman" w:hAnsi="Times New Roman" w:cs="Times New Roman"/>
          <w:sz w:val="24"/>
          <w:szCs w:val="24"/>
        </w:rPr>
        <w:t xml:space="preserve"> bằng tỷ lệ cổ phần của cổ đông nước ngoài trên tổng số cổ phần phát hành của ngân hàng thương mại</w:t>
      </w:r>
      <w:r>
        <w:rPr>
          <w:rFonts w:ascii="Times New Roman" w:hAnsi="Times New Roman" w:cs="Times New Roman"/>
          <w:sz w:val="24"/>
          <w:szCs w:val="24"/>
        </w:rPr>
        <w:t xml:space="preserve">. Bài báo kỳ vọng tỷ lệ sở hữu nước ngoài càng cao thì rủi ro thanh khoản của ngân hàng càng giảm. </w:t>
      </w:r>
    </w:p>
    <w:p w:rsidR="00433FFF" w:rsidRPr="009264DD" w:rsidRDefault="00433FFF" w:rsidP="001E7A86">
      <w:pPr>
        <w:spacing w:before="120" w:after="120" w:line="240" w:lineRule="auto"/>
        <w:jc w:val="both"/>
        <w:rPr>
          <w:rFonts w:ascii="Times New Roman" w:hAnsi="Times New Roman" w:cs="Times New Roman"/>
          <w:sz w:val="24"/>
          <w:szCs w:val="24"/>
        </w:rPr>
      </w:pPr>
      <w:r w:rsidRPr="009264DD">
        <w:rPr>
          <w:rFonts w:ascii="Times New Roman" w:hAnsi="Times New Roman" w:cs="Times New Roman"/>
          <w:b/>
          <w:sz w:val="24"/>
          <w:szCs w:val="24"/>
        </w:rPr>
        <w:tab/>
        <w:t>CR</w:t>
      </w:r>
      <w:r>
        <w:rPr>
          <w:rFonts w:ascii="Times New Roman" w:hAnsi="Times New Roman" w:cs="Times New Roman"/>
          <w:b/>
          <w:sz w:val="24"/>
          <w:szCs w:val="24"/>
          <w:vertAlign w:val="subscript"/>
        </w:rPr>
        <w:t>i,t</w:t>
      </w:r>
      <w:r w:rsidRPr="009264DD">
        <w:rPr>
          <w:rFonts w:ascii="Times New Roman" w:hAnsi="Times New Roman" w:cs="Times New Roman"/>
          <w:b/>
          <w:sz w:val="24"/>
          <w:szCs w:val="24"/>
        </w:rPr>
        <w:t xml:space="preserve"> </w:t>
      </w:r>
      <w:r>
        <w:rPr>
          <w:rFonts w:ascii="Times New Roman" w:hAnsi="Times New Roman" w:cs="Times New Roman"/>
          <w:sz w:val="24"/>
          <w:szCs w:val="24"/>
        </w:rPr>
        <w:t>là r</w:t>
      </w:r>
      <w:r w:rsidRPr="009264DD">
        <w:rPr>
          <w:rFonts w:ascii="Times New Roman" w:hAnsi="Times New Roman" w:cs="Times New Roman"/>
          <w:sz w:val="24"/>
          <w:szCs w:val="24"/>
        </w:rPr>
        <w:t>ủi ro tín dụng</w:t>
      </w:r>
      <w:r>
        <w:rPr>
          <w:rFonts w:ascii="Times New Roman" w:hAnsi="Times New Roman" w:cs="Times New Roman"/>
          <w:sz w:val="24"/>
          <w:szCs w:val="24"/>
        </w:rPr>
        <w:t xml:space="preserve"> của ngân hàng i trong năm t. </w:t>
      </w:r>
      <w:r w:rsidRPr="009264DD">
        <w:rPr>
          <w:rFonts w:ascii="Times New Roman" w:hAnsi="Times New Roman" w:cs="Times New Roman"/>
          <w:sz w:val="24"/>
          <w:szCs w:val="24"/>
        </w:rPr>
        <w:t>Biến này được đo lường bằng tỷ số dự phòng rủi ro tín dụng trên tổng tài sản.</w:t>
      </w:r>
      <w:r>
        <w:rPr>
          <w:rFonts w:ascii="Times New Roman" w:hAnsi="Times New Roman" w:cs="Times New Roman"/>
          <w:sz w:val="24"/>
          <w:szCs w:val="24"/>
        </w:rPr>
        <w:t xml:space="preserve"> Bài báo</w:t>
      </w:r>
      <w:r w:rsidRPr="008D257A">
        <w:rPr>
          <w:rFonts w:ascii="Times New Roman" w:hAnsi="Times New Roman" w:cs="Times New Roman"/>
          <w:sz w:val="24"/>
          <w:szCs w:val="24"/>
        </w:rPr>
        <w:t xml:space="preserve"> kỳ vọng rủi</w:t>
      </w:r>
      <w:r>
        <w:rPr>
          <w:rFonts w:ascii="Times New Roman" w:hAnsi="Times New Roman" w:cs="Times New Roman"/>
          <w:sz w:val="24"/>
          <w:szCs w:val="24"/>
        </w:rPr>
        <w:t xml:space="preserve"> ro tín dụng sẽ có tác động ngược chiều với rủi ro thanh khoản. Điều này được lý giải là do khi rủi ro tín dụng tăng sẽ dẫn đến dự phòng rủi ro tăng và lợi nhuận giảm xuống. Để bù đắp cho sự sụt giảm lợi nhuận, các ngân hàng có xu hướng giảm bớt tài sản thanh khoản và cho vay nhiều hơn làm cho rủi ro thanh khoản của ngân hàng sẽ tăng lên.</w:t>
      </w:r>
    </w:p>
    <w:p w:rsidR="00433FFF" w:rsidRPr="009264DD"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b/>
          <w:sz w:val="24"/>
          <w:szCs w:val="24"/>
        </w:rPr>
        <w:t>Size</w:t>
      </w:r>
      <w:r w:rsidRPr="009264DD">
        <w:rPr>
          <w:rFonts w:ascii="Times New Roman" w:hAnsi="Times New Roman" w:cs="Times New Roman"/>
          <w:b/>
          <w:sz w:val="24"/>
          <w:szCs w:val="24"/>
          <w:vertAlign w:val="subscript"/>
        </w:rPr>
        <w:t xml:space="preserve">i,t </w:t>
      </w:r>
      <w:r>
        <w:rPr>
          <w:rFonts w:ascii="Times New Roman" w:hAnsi="Times New Roman" w:cs="Times New Roman"/>
          <w:sz w:val="24"/>
          <w:szCs w:val="24"/>
        </w:rPr>
        <w:t>là q</w:t>
      </w:r>
      <w:r w:rsidRPr="009264DD">
        <w:rPr>
          <w:rFonts w:ascii="Times New Roman" w:hAnsi="Times New Roman" w:cs="Times New Roman"/>
          <w:sz w:val="24"/>
          <w:szCs w:val="24"/>
        </w:rPr>
        <w:t>uy mô của ngân hàng</w:t>
      </w:r>
      <w:r>
        <w:rPr>
          <w:rFonts w:ascii="Times New Roman" w:hAnsi="Times New Roman" w:cs="Times New Roman"/>
          <w:sz w:val="24"/>
          <w:szCs w:val="24"/>
        </w:rPr>
        <w:t xml:space="preserve"> i trong năm t, được tính</w:t>
      </w:r>
      <w:r w:rsidRPr="009264DD">
        <w:rPr>
          <w:rFonts w:ascii="Times New Roman" w:hAnsi="Times New Roman" w:cs="Times New Roman"/>
          <w:sz w:val="24"/>
          <w:szCs w:val="24"/>
        </w:rPr>
        <w:t xml:space="preserve"> bằng logarit tự nhiên của tổng tài sản</w:t>
      </w:r>
      <w:r>
        <w:rPr>
          <w:rFonts w:ascii="Times New Roman" w:hAnsi="Times New Roman" w:cs="Times New Roman"/>
          <w:sz w:val="24"/>
          <w:szCs w:val="24"/>
        </w:rPr>
        <w:t>.</w:t>
      </w:r>
      <w:r w:rsidRPr="009264DD">
        <w:rPr>
          <w:rFonts w:ascii="Times New Roman" w:hAnsi="Times New Roman" w:cs="Times New Roman"/>
          <w:sz w:val="24"/>
          <w:szCs w:val="24"/>
        </w:rPr>
        <w:t xml:space="preserve"> </w:t>
      </w:r>
      <w:r>
        <w:rPr>
          <w:rFonts w:ascii="Times New Roman" w:hAnsi="Times New Roman" w:cs="Times New Roman"/>
          <w:sz w:val="24"/>
          <w:szCs w:val="24"/>
        </w:rPr>
        <w:t xml:space="preserve">Biến này được đưa vào mô hình do quy mô ngân hàng có thể tác động đến rủi ro thanh khoản của ngân hàng. Cụ thể, ngân hàng có quy mô càng lớn </w:t>
      </w:r>
      <w:r w:rsidRPr="009264DD">
        <w:rPr>
          <w:rFonts w:ascii="Times New Roman" w:hAnsi="Times New Roman" w:cs="Times New Roman"/>
          <w:sz w:val="24"/>
          <w:szCs w:val="24"/>
        </w:rPr>
        <w:t>thể hiện vị thế thanh khoản của ngân hàng</w:t>
      </w:r>
      <w:r>
        <w:rPr>
          <w:rFonts w:ascii="Times New Roman" w:hAnsi="Times New Roman" w:cs="Times New Roman"/>
          <w:sz w:val="24"/>
          <w:szCs w:val="24"/>
        </w:rPr>
        <w:t xml:space="preserve"> càng cao và rủi ro thanh khoản giảm. </w:t>
      </w:r>
    </w:p>
    <w:p w:rsidR="00433FFF"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b/>
          <w:sz w:val="24"/>
          <w:szCs w:val="24"/>
        </w:rPr>
        <w:t>EA</w:t>
      </w:r>
      <w:r w:rsidRPr="009264DD">
        <w:rPr>
          <w:rFonts w:ascii="Times New Roman" w:hAnsi="Times New Roman" w:cs="Times New Roman"/>
          <w:b/>
          <w:sz w:val="24"/>
          <w:szCs w:val="24"/>
          <w:vertAlign w:val="subscript"/>
        </w:rPr>
        <w:t>i,t</w:t>
      </w:r>
      <w:r>
        <w:rPr>
          <w:rFonts w:ascii="Times New Roman" w:hAnsi="Times New Roman" w:cs="Times New Roman"/>
          <w:sz w:val="24"/>
          <w:szCs w:val="24"/>
        </w:rPr>
        <w:t xml:space="preserve"> là </w:t>
      </w:r>
      <w:r w:rsidRPr="009264DD">
        <w:rPr>
          <w:rFonts w:ascii="Times New Roman" w:hAnsi="Times New Roman" w:cs="Times New Roman"/>
          <w:sz w:val="24"/>
          <w:szCs w:val="24"/>
        </w:rPr>
        <w:t xml:space="preserve">tỷ lệ vốn </w:t>
      </w:r>
      <w:r>
        <w:rPr>
          <w:rFonts w:ascii="Times New Roman" w:hAnsi="Times New Roman" w:cs="Times New Roman"/>
          <w:sz w:val="24"/>
          <w:szCs w:val="24"/>
        </w:rPr>
        <w:t xml:space="preserve">chủ sở hữu </w:t>
      </w:r>
      <w:r w:rsidRPr="009264DD">
        <w:rPr>
          <w:rFonts w:ascii="Times New Roman" w:hAnsi="Times New Roman" w:cs="Times New Roman"/>
          <w:sz w:val="24"/>
          <w:szCs w:val="24"/>
        </w:rPr>
        <w:t>trên tổng tài sả</w:t>
      </w:r>
      <w:r>
        <w:rPr>
          <w:rFonts w:ascii="Times New Roman" w:hAnsi="Times New Roman" w:cs="Times New Roman"/>
          <w:sz w:val="24"/>
          <w:szCs w:val="24"/>
        </w:rPr>
        <w:t xml:space="preserve">n của ngân hàng i trong năm t. Biến này </w:t>
      </w:r>
      <w:r w:rsidRPr="009264DD">
        <w:rPr>
          <w:rFonts w:ascii="Times New Roman" w:hAnsi="Times New Roman" w:cs="Times New Roman"/>
          <w:sz w:val="24"/>
          <w:szCs w:val="24"/>
        </w:rPr>
        <w:t xml:space="preserve">được sử dụng với hàm ý mức vốn hóa của ngân hàng có thể sẽ ảnh hưởng đến khả năng thanh khoản của </w:t>
      </w:r>
      <w:r>
        <w:rPr>
          <w:rFonts w:ascii="Times New Roman" w:hAnsi="Times New Roman" w:cs="Times New Roman"/>
          <w:sz w:val="24"/>
          <w:szCs w:val="24"/>
        </w:rPr>
        <w:t>ngân hàng đó. Bài báo kỳ vọng tỷ lệ vốn chủ sở hữu có tác động ngược chiều với rủi ro thanh khoản. Cụ thể, ngân hàng vốn hóa lớn có thể đảm bảo được các chỉ số an toàn vốn theo quy định và rủi ro thanh khoản sẽ giảm.</w:t>
      </w:r>
    </w:p>
    <w:p w:rsidR="00433FFF" w:rsidRPr="009264DD"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b/>
          <w:sz w:val="24"/>
          <w:szCs w:val="24"/>
        </w:rPr>
        <w:t>DR</w:t>
      </w:r>
      <w:r w:rsidRPr="009264DD">
        <w:rPr>
          <w:rFonts w:ascii="Times New Roman" w:hAnsi="Times New Roman" w:cs="Times New Roman"/>
          <w:b/>
          <w:sz w:val="24"/>
          <w:szCs w:val="24"/>
          <w:vertAlign w:val="subscript"/>
        </w:rPr>
        <w:t>t</w:t>
      </w:r>
      <w:r w:rsidRPr="009264DD">
        <w:rPr>
          <w:rFonts w:ascii="Times New Roman" w:hAnsi="Times New Roman" w:cs="Times New Roman"/>
          <w:sz w:val="24"/>
          <w:szCs w:val="24"/>
        </w:rPr>
        <w:t xml:space="preserve"> </w:t>
      </w:r>
      <w:r>
        <w:rPr>
          <w:rFonts w:ascii="Times New Roman" w:hAnsi="Times New Roman" w:cs="Times New Roman"/>
          <w:sz w:val="24"/>
          <w:szCs w:val="24"/>
        </w:rPr>
        <w:t>là l</w:t>
      </w:r>
      <w:r w:rsidRPr="009264DD">
        <w:rPr>
          <w:rFonts w:ascii="Times New Roman" w:hAnsi="Times New Roman" w:cs="Times New Roman"/>
          <w:sz w:val="24"/>
          <w:szCs w:val="24"/>
        </w:rPr>
        <w:t>ãi suất huy động thực trung bình</w:t>
      </w:r>
      <w:r>
        <w:rPr>
          <w:rFonts w:ascii="Times New Roman" w:hAnsi="Times New Roman" w:cs="Times New Roman"/>
          <w:sz w:val="24"/>
          <w:szCs w:val="24"/>
        </w:rPr>
        <w:t xml:space="preserve"> năm t</w:t>
      </w:r>
      <w:r w:rsidRPr="009264DD">
        <w:rPr>
          <w:rFonts w:ascii="Times New Roman" w:hAnsi="Times New Roman" w:cs="Times New Roman"/>
          <w:sz w:val="24"/>
          <w:szCs w:val="24"/>
        </w:rPr>
        <w:t>, đại diện cho chi phí của việc nắm giữ thanh khoản</w:t>
      </w:r>
      <w:r w:rsidRPr="00581F02">
        <w:rPr>
          <w:rFonts w:ascii="Times New Roman" w:hAnsi="Times New Roman"/>
          <w:sz w:val="26"/>
          <w:szCs w:val="24"/>
        </w:rPr>
        <w:t>.</w:t>
      </w:r>
      <w:r w:rsidRPr="009264DD">
        <w:rPr>
          <w:rFonts w:ascii="Times New Roman" w:hAnsi="Times New Roman" w:cs="Times New Roman"/>
          <w:sz w:val="24"/>
          <w:szCs w:val="24"/>
        </w:rPr>
        <w:t xml:space="preserve"> Biến này được đo lường bằng giá trị ròng của lãi suất </w:t>
      </w:r>
      <w:r>
        <w:rPr>
          <w:rFonts w:ascii="Times New Roman" w:hAnsi="Times New Roman" w:cs="Times New Roman"/>
          <w:sz w:val="24"/>
          <w:szCs w:val="24"/>
        </w:rPr>
        <w:t>h</w:t>
      </w:r>
      <w:r w:rsidRPr="009264DD">
        <w:rPr>
          <w:rFonts w:ascii="Times New Roman" w:hAnsi="Times New Roman" w:cs="Times New Roman"/>
          <w:sz w:val="24"/>
          <w:szCs w:val="24"/>
        </w:rPr>
        <w:t>uy độ</w:t>
      </w:r>
      <w:r>
        <w:rPr>
          <w:rFonts w:ascii="Times New Roman" w:hAnsi="Times New Roman" w:cs="Times New Roman"/>
          <w:sz w:val="24"/>
          <w:szCs w:val="24"/>
        </w:rPr>
        <w:t>ng kỳ hạn 12 tháng và</w:t>
      </w:r>
      <w:r w:rsidRPr="009264DD">
        <w:rPr>
          <w:rFonts w:ascii="Times New Roman" w:hAnsi="Times New Roman" w:cs="Times New Roman"/>
          <w:sz w:val="24"/>
          <w:szCs w:val="24"/>
        </w:rPr>
        <w:t xml:space="preserve"> lạ</w:t>
      </w:r>
      <w:r>
        <w:rPr>
          <w:rFonts w:ascii="Times New Roman" w:hAnsi="Times New Roman" w:cs="Times New Roman"/>
          <w:sz w:val="24"/>
          <w:szCs w:val="24"/>
        </w:rPr>
        <w:t>m phát năm. Bài báo kỳ vọng lãi suất huy động có tác động ngược chiều với rủi ro thanh khoản của ngân hàng. Điều này được lý giải là k</w:t>
      </w:r>
      <w:r w:rsidRPr="009264DD">
        <w:rPr>
          <w:rFonts w:ascii="Times New Roman" w:hAnsi="Times New Roman" w:cs="Times New Roman"/>
          <w:sz w:val="24"/>
          <w:szCs w:val="24"/>
        </w:rPr>
        <w:t>hi lãi suất huy động cao</w:t>
      </w:r>
      <w:r>
        <w:rPr>
          <w:rFonts w:ascii="Times New Roman" w:hAnsi="Times New Roman" w:cs="Times New Roman"/>
          <w:sz w:val="24"/>
          <w:szCs w:val="24"/>
        </w:rPr>
        <w:t>,</w:t>
      </w:r>
      <w:r w:rsidRPr="009264DD">
        <w:rPr>
          <w:rFonts w:ascii="Times New Roman" w:hAnsi="Times New Roman" w:cs="Times New Roman"/>
          <w:sz w:val="24"/>
          <w:szCs w:val="24"/>
        </w:rPr>
        <w:t xml:space="preserve"> các ngân hàng sẽ đầu tư ít hơn vào các tài sản thanh khoản</w:t>
      </w:r>
      <w:r>
        <w:rPr>
          <w:rFonts w:ascii="Times New Roman" w:hAnsi="Times New Roman" w:cs="Times New Roman"/>
          <w:sz w:val="24"/>
          <w:szCs w:val="24"/>
        </w:rPr>
        <w:t>, những tài sản</w:t>
      </w:r>
      <w:r w:rsidRPr="009264DD">
        <w:rPr>
          <w:rFonts w:ascii="Times New Roman" w:hAnsi="Times New Roman" w:cs="Times New Roman"/>
          <w:sz w:val="24"/>
          <w:szCs w:val="24"/>
        </w:rPr>
        <w:t xml:space="preserve"> có lợi nhuận thấp</w:t>
      </w:r>
      <w:r>
        <w:rPr>
          <w:rFonts w:ascii="Times New Roman" w:hAnsi="Times New Roman" w:cs="Times New Roman"/>
          <w:sz w:val="24"/>
          <w:szCs w:val="24"/>
        </w:rPr>
        <w:t xml:space="preserve">, làm cho rủi ro thanh khoản của ngân hàng tăng lên </w:t>
      </w:r>
      <w:r>
        <w:rPr>
          <w:rFonts w:ascii="Times New Roman" w:hAnsi="Times New Roman" w:cs="Times New Roman"/>
          <w:noProof/>
          <w:sz w:val="24"/>
          <w:szCs w:val="24"/>
        </w:rPr>
        <w:t>(Võ Xuân Vinh &amp; Mai Xuân Đức 2016)</w:t>
      </w:r>
      <w:r w:rsidRPr="009264DD">
        <w:rPr>
          <w:rFonts w:ascii="Times New Roman" w:hAnsi="Times New Roman" w:cs="Times New Roman"/>
          <w:sz w:val="24"/>
          <w:szCs w:val="24"/>
        </w:rPr>
        <w:t>.</w:t>
      </w:r>
    </w:p>
    <w:p w:rsidR="00433FFF" w:rsidRPr="009264DD"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b/>
          <w:sz w:val="24"/>
          <w:szCs w:val="24"/>
        </w:rPr>
        <w:lastRenderedPageBreak/>
        <w:t>IR</w:t>
      </w:r>
      <w:r w:rsidRPr="009264DD">
        <w:rPr>
          <w:rFonts w:ascii="Times New Roman" w:hAnsi="Times New Roman" w:cs="Times New Roman"/>
          <w:b/>
          <w:sz w:val="24"/>
          <w:szCs w:val="24"/>
          <w:vertAlign w:val="subscript"/>
        </w:rPr>
        <w:t xml:space="preserve">t </w:t>
      </w:r>
      <w:r>
        <w:rPr>
          <w:rFonts w:ascii="Times New Roman" w:hAnsi="Times New Roman" w:cs="Times New Roman"/>
          <w:sz w:val="24"/>
          <w:szCs w:val="24"/>
        </w:rPr>
        <w:t>là l</w:t>
      </w:r>
      <w:r w:rsidRPr="009264DD">
        <w:rPr>
          <w:rFonts w:ascii="Times New Roman" w:hAnsi="Times New Roman" w:cs="Times New Roman"/>
          <w:sz w:val="24"/>
          <w:szCs w:val="24"/>
        </w:rPr>
        <w:t>ãi suất liên ngân hàng thự</w:t>
      </w:r>
      <w:r>
        <w:rPr>
          <w:rFonts w:ascii="Times New Roman" w:hAnsi="Times New Roman" w:cs="Times New Roman"/>
          <w:sz w:val="24"/>
          <w:szCs w:val="24"/>
        </w:rPr>
        <w:t>c năm t</w:t>
      </w:r>
      <w:r w:rsidRPr="009264DD">
        <w:rPr>
          <w:rFonts w:ascii="Times New Roman" w:hAnsi="Times New Roman" w:cs="Times New Roman"/>
          <w:sz w:val="24"/>
          <w:szCs w:val="24"/>
        </w:rPr>
        <w:t>. Biến này được tính bằng giá trị ròng giữa lãi suất liên ngân hàng kỳ hạn 1 tháng</w:t>
      </w:r>
      <w:r>
        <w:rPr>
          <w:rFonts w:ascii="Times New Roman" w:hAnsi="Times New Roman" w:cs="Times New Roman"/>
          <w:sz w:val="24"/>
          <w:szCs w:val="24"/>
        </w:rPr>
        <w:t xml:space="preserve"> </w:t>
      </w:r>
      <w:r w:rsidRPr="009264DD">
        <w:rPr>
          <w:rFonts w:ascii="Times New Roman" w:hAnsi="Times New Roman" w:cs="Times New Roman"/>
          <w:sz w:val="24"/>
          <w:szCs w:val="24"/>
        </w:rPr>
        <w:t>và lạm phát năm.</w:t>
      </w:r>
      <w:r>
        <w:rPr>
          <w:rFonts w:ascii="Times New Roman" w:hAnsi="Times New Roman" w:cs="Times New Roman"/>
          <w:sz w:val="24"/>
          <w:szCs w:val="24"/>
        </w:rPr>
        <w:t xml:space="preserve"> Biến này </w:t>
      </w:r>
      <w:r w:rsidRPr="009264DD">
        <w:rPr>
          <w:rFonts w:ascii="Times New Roman" w:hAnsi="Times New Roman" w:cs="Times New Roman"/>
          <w:sz w:val="24"/>
          <w:szCs w:val="24"/>
        </w:rPr>
        <w:t xml:space="preserve">được </w:t>
      </w:r>
      <w:r>
        <w:rPr>
          <w:rFonts w:ascii="Times New Roman" w:hAnsi="Times New Roman" w:cs="Times New Roman"/>
          <w:sz w:val="24"/>
          <w:szCs w:val="24"/>
        </w:rPr>
        <w:t xml:space="preserve">đưa vào mô hình do lãi suất liên ngân hàng được coi như là một chỉ số </w:t>
      </w:r>
      <w:r w:rsidRPr="009264DD">
        <w:rPr>
          <w:rFonts w:ascii="Times New Roman" w:hAnsi="Times New Roman" w:cs="Times New Roman"/>
          <w:sz w:val="24"/>
          <w:szCs w:val="24"/>
        </w:rPr>
        <w:t>đo lường chi phí thanh khoản trong hệ thống ngân hàng</w:t>
      </w:r>
      <w:r>
        <w:rPr>
          <w:rFonts w:ascii="Times New Roman" w:hAnsi="Times New Roman" w:cs="Times New Roman"/>
          <w:sz w:val="24"/>
          <w:szCs w:val="24"/>
        </w:rPr>
        <w:t xml:space="preserve"> </w:t>
      </w:r>
      <w:r>
        <w:rPr>
          <w:rFonts w:ascii="Times New Roman" w:hAnsi="Times New Roman"/>
          <w:noProof/>
          <w:sz w:val="26"/>
          <w:szCs w:val="24"/>
        </w:rPr>
        <w:t>(Dinger 2009)</w:t>
      </w:r>
      <w:r>
        <w:rPr>
          <w:rFonts w:ascii="Times New Roman" w:hAnsi="Times New Roman"/>
          <w:sz w:val="26"/>
          <w:szCs w:val="24"/>
        </w:rPr>
        <w:t xml:space="preserve">. </w:t>
      </w:r>
      <w:r>
        <w:rPr>
          <w:rFonts w:ascii="Times New Roman" w:hAnsi="Times New Roman" w:cs="Times New Roman"/>
          <w:sz w:val="24"/>
          <w:szCs w:val="24"/>
        </w:rPr>
        <w:t>Bài báo</w:t>
      </w:r>
      <w:r w:rsidRPr="009264DD">
        <w:rPr>
          <w:rFonts w:ascii="Times New Roman" w:hAnsi="Times New Roman" w:cs="Times New Roman"/>
          <w:sz w:val="24"/>
          <w:szCs w:val="24"/>
        </w:rPr>
        <w:t xml:space="preserve"> kỳ vọ</w:t>
      </w:r>
      <w:r>
        <w:rPr>
          <w:rFonts w:ascii="Times New Roman" w:hAnsi="Times New Roman" w:cs="Times New Roman"/>
          <w:sz w:val="24"/>
          <w:szCs w:val="24"/>
        </w:rPr>
        <w:t xml:space="preserve">ng </w:t>
      </w:r>
      <w:r w:rsidRPr="009264DD">
        <w:rPr>
          <w:rFonts w:ascii="Times New Roman" w:hAnsi="Times New Roman" w:cs="Times New Roman"/>
          <w:sz w:val="24"/>
          <w:szCs w:val="24"/>
        </w:rPr>
        <w:t xml:space="preserve">khi lãi suất liên ngân hàng cao thì </w:t>
      </w:r>
      <w:r>
        <w:rPr>
          <w:rFonts w:ascii="Times New Roman" w:hAnsi="Times New Roman" w:cs="Times New Roman"/>
          <w:sz w:val="24"/>
          <w:szCs w:val="24"/>
        </w:rPr>
        <w:t>rủi ro</w:t>
      </w:r>
      <w:r w:rsidRPr="009264DD">
        <w:rPr>
          <w:rFonts w:ascii="Times New Roman" w:hAnsi="Times New Roman" w:cs="Times New Roman"/>
          <w:sz w:val="24"/>
          <w:szCs w:val="24"/>
        </w:rPr>
        <w:t xml:space="preserve"> thanh khoản củ</w:t>
      </w:r>
      <w:r>
        <w:rPr>
          <w:rFonts w:ascii="Times New Roman" w:hAnsi="Times New Roman" w:cs="Times New Roman"/>
          <w:sz w:val="24"/>
          <w:szCs w:val="24"/>
        </w:rPr>
        <w:t>a ngân hàng càng cao.</w:t>
      </w:r>
    </w:p>
    <w:p w:rsidR="00433FFF" w:rsidRPr="009264DD" w:rsidRDefault="00433FFF" w:rsidP="001E7A86">
      <w:pPr>
        <w:tabs>
          <w:tab w:val="left" w:pos="720"/>
        </w:tabs>
        <w:spacing w:before="120" w:after="120" w:line="240" w:lineRule="auto"/>
        <w:jc w:val="both"/>
        <w:rPr>
          <w:rFonts w:ascii="Times New Roman" w:hAnsi="Times New Roman" w:cs="Times New Roman"/>
          <w:sz w:val="24"/>
          <w:szCs w:val="24"/>
        </w:rPr>
      </w:pPr>
      <w:r w:rsidRPr="009264DD">
        <w:rPr>
          <w:rFonts w:ascii="Times New Roman" w:hAnsi="Times New Roman" w:cs="Times New Roman"/>
          <w:sz w:val="24"/>
          <w:szCs w:val="24"/>
        </w:rPr>
        <w:tab/>
      </w:r>
      <w:r w:rsidRPr="009264DD">
        <w:rPr>
          <w:rFonts w:ascii="Times New Roman" w:hAnsi="Times New Roman" w:cs="Times New Roman"/>
          <w:b/>
          <w:sz w:val="24"/>
          <w:szCs w:val="24"/>
        </w:rPr>
        <w:t>SMR</w:t>
      </w:r>
      <w:r w:rsidRPr="009264DD">
        <w:rPr>
          <w:rFonts w:ascii="Times New Roman" w:hAnsi="Times New Roman" w:cs="Times New Roman"/>
          <w:b/>
          <w:sz w:val="24"/>
          <w:szCs w:val="24"/>
          <w:vertAlign w:val="subscript"/>
        </w:rPr>
        <w:t xml:space="preserve">t </w:t>
      </w:r>
      <w:r>
        <w:rPr>
          <w:rFonts w:ascii="Times New Roman" w:hAnsi="Times New Roman" w:cs="Times New Roman"/>
          <w:sz w:val="24"/>
          <w:szCs w:val="24"/>
        </w:rPr>
        <w:t xml:space="preserve">(Std Money Market Rate) là </w:t>
      </w:r>
      <w:r w:rsidRPr="009264DD">
        <w:rPr>
          <w:rFonts w:ascii="Times New Roman" w:hAnsi="Times New Roman" w:cs="Times New Roman"/>
          <w:sz w:val="24"/>
          <w:szCs w:val="24"/>
        </w:rPr>
        <w:t>độ lệch chuẩn của la</w:t>
      </w:r>
      <w:r>
        <w:rPr>
          <w:rFonts w:ascii="Times New Roman" w:hAnsi="Times New Roman" w:cs="Times New Roman"/>
          <w:sz w:val="24"/>
          <w:szCs w:val="24"/>
        </w:rPr>
        <w:t>̃i suất thị trường tiền tệ trong năm t.</w:t>
      </w:r>
      <w:r w:rsidRPr="009264DD">
        <w:rPr>
          <w:rFonts w:ascii="Times New Roman" w:hAnsi="Times New Roman" w:cs="Times New Roman"/>
          <w:sz w:val="24"/>
          <w:szCs w:val="24"/>
        </w:rPr>
        <w:t xml:space="preserve"> </w:t>
      </w:r>
      <w:r>
        <w:rPr>
          <w:rFonts w:ascii="Times New Roman" w:hAnsi="Times New Roman" w:cs="Times New Roman"/>
          <w:sz w:val="24"/>
          <w:szCs w:val="24"/>
        </w:rPr>
        <w:t xml:space="preserve">Biến này </w:t>
      </w:r>
      <w:r w:rsidRPr="009264DD">
        <w:rPr>
          <w:rFonts w:ascii="Times New Roman" w:hAnsi="Times New Roman" w:cs="Times New Roman"/>
          <w:sz w:val="24"/>
          <w:szCs w:val="24"/>
        </w:rPr>
        <w:t>đại diện cho sự biến động của la</w:t>
      </w:r>
      <w:r>
        <w:rPr>
          <w:rFonts w:ascii="Times New Roman" w:hAnsi="Times New Roman" w:cs="Times New Roman"/>
          <w:sz w:val="24"/>
          <w:szCs w:val="24"/>
        </w:rPr>
        <w:t>̃i suất thị trường tiền tệ</w:t>
      </w:r>
      <w:r w:rsidRPr="00581F02">
        <w:rPr>
          <w:rFonts w:ascii="Times New Roman" w:hAnsi="Times New Roman"/>
          <w:sz w:val="26"/>
          <w:szCs w:val="24"/>
        </w:rPr>
        <w:t>.</w:t>
      </w:r>
      <w:r w:rsidRPr="009264DD">
        <w:rPr>
          <w:rFonts w:ascii="Times New Roman" w:hAnsi="Times New Roman" w:cs="Times New Roman"/>
          <w:sz w:val="24"/>
          <w:szCs w:val="24"/>
        </w:rPr>
        <w:t xml:space="preserve"> </w:t>
      </w:r>
      <w:r>
        <w:rPr>
          <w:rFonts w:ascii="Times New Roman" w:hAnsi="Times New Roman" w:cs="Times New Roman"/>
          <w:sz w:val="24"/>
          <w:szCs w:val="24"/>
        </w:rPr>
        <w:t xml:space="preserve">SMR </w:t>
      </w:r>
      <w:r w:rsidRPr="009264DD">
        <w:rPr>
          <w:rFonts w:ascii="Times New Roman" w:hAnsi="Times New Roman" w:cs="Times New Roman"/>
          <w:sz w:val="24"/>
          <w:szCs w:val="24"/>
        </w:rPr>
        <w:t xml:space="preserve">được tính bằng độ lệch chuẩn của lãi suất thị trường </w:t>
      </w:r>
      <w:r>
        <w:rPr>
          <w:rFonts w:ascii="Times New Roman" w:hAnsi="Times New Roman" w:cs="Times New Roman"/>
          <w:sz w:val="24"/>
          <w:szCs w:val="24"/>
        </w:rPr>
        <w:t>liên ngân hàng</w:t>
      </w:r>
      <w:r w:rsidRPr="009264DD">
        <w:rPr>
          <w:rFonts w:ascii="Times New Roman" w:hAnsi="Times New Roman" w:cs="Times New Roman"/>
          <w:sz w:val="24"/>
          <w:szCs w:val="24"/>
        </w:rPr>
        <w:t xml:space="preserve"> </w:t>
      </w:r>
      <w:r>
        <w:rPr>
          <w:rFonts w:ascii="Times New Roman" w:hAnsi="Times New Roman" w:cs="Times New Roman"/>
          <w:sz w:val="24"/>
          <w:szCs w:val="24"/>
        </w:rPr>
        <w:t xml:space="preserve">kỳ hạn 1 tháng </w:t>
      </w:r>
      <w:r w:rsidRPr="009264DD">
        <w:rPr>
          <w:rFonts w:ascii="Times New Roman" w:hAnsi="Times New Roman" w:cs="Times New Roman"/>
          <w:sz w:val="24"/>
          <w:szCs w:val="24"/>
        </w:rPr>
        <w:t xml:space="preserve">khi quan sát </w:t>
      </w:r>
      <w:r>
        <w:rPr>
          <w:rFonts w:ascii="Times New Roman" w:hAnsi="Times New Roman" w:cs="Times New Roman"/>
          <w:sz w:val="24"/>
          <w:szCs w:val="24"/>
        </w:rPr>
        <w:t xml:space="preserve">từng </w:t>
      </w:r>
      <w:r w:rsidRPr="009264DD">
        <w:rPr>
          <w:rFonts w:ascii="Times New Roman" w:hAnsi="Times New Roman" w:cs="Times New Roman"/>
          <w:sz w:val="24"/>
          <w:szCs w:val="24"/>
        </w:rPr>
        <w:t xml:space="preserve">tháng trong năm </w:t>
      </w:r>
      <w:r>
        <w:rPr>
          <w:rFonts w:ascii="Times New Roman" w:hAnsi="Times New Roman" w:cs="Times New Roman"/>
          <w:noProof/>
          <w:sz w:val="24"/>
          <w:szCs w:val="24"/>
        </w:rPr>
        <w:t>(Võ Xuân Vinh &amp; Mai Xuân Đức 2016)</w:t>
      </w:r>
      <w:r w:rsidRPr="009264DD">
        <w:rPr>
          <w:rFonts w:ascii="Times New Roman" w:hAnsi="Times New Roman" w:cs="Times New Roman"/>
          <w:sz w:val="24"/>
          <w:szCs w:val="24"/>
        </w:rPr>
        <w:t>.</w:t>
      </w:r>
    </w:p>
    <w:p w:rsidR="00433FFF"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b/>
          <w:sz w:val="24"/>
          <w:szCs w:val="24"/>
        </w:rPr>
        <w:t>GDPg</w:t>
      </w:r>
      <w:r w:rsidRPr="009264DD">
        <w:rPr>
          <w:rFonts w:ascii="Times New Roman" w:hAnsi="Times New Roman" w:cs="Times New Roman"/>
          <w:b/>
          <w:sz w:val="24"/>
          <w:szCs w:val="24"/>
          <w:vertAlign w:val="subscript"/>
        </w:rPr>
        <w:t>t</w:t>
      </w:r>
      <w:r>
        <w:rPr>
          <w:rFonts w:ascii="Times New Roman" w:hAnsi="Times New Roman" w:cs="Times New Roman"/>
          <w:sz w:val="24"/>
          <w:szCs w:val="24"/>
        </w:rPr>
        <w:t xml:space="preserve"> là t</w:t>
      </w:r>
      <w:r w:rsidRPr="009264DD">
        <w:rPr>
          <w:rFonts w:ascii="Times New Roman" w:hAnsi="Times New Roman" w:cs="Times New Roman"/>
          <w:sz w:val="24"/>
          <w:szCs w:val="24"/>
        </w:rPr>
        <w:t xml:space="preserve">ỷ lệ tăng trưởng </w:t>
      </w:r>
      <w:bookmarkStart w:id="9" w:name="OLE_LINK30"/>
      <w:bookmarkStart w:id="10" w:name="OLE_LINK31"/>
      <w:r w:rsidRPr="009264DD">
        <w:rPr>
          <w:rFonts w:ascii="Times New Roman" w:hAnsi="Times New Roman" w:cs="Times New Roman"/>
          <w:sz w:val="24"/>
          <w:szCs w:val="24"/>
        </w:rPr>
        <w:t>GDP</w:t>
      </w:r>
      <w:bookmarkEnd w:id="9"/>
      <w:bookmarkEnd w:id="10"/>
      <w:r>
        <w:rPr>
          <w:rFonts w:ascii="Times New Roman" w:hAnsi="Times New Roman" w:cs="Times New Roman"/>
          <w:sz w:val="24"/>
          <w:szCs w:val="24"/>
        </w:rPr>
        <w:t xml:space="preserve"> năm t. Biến này</w:t>
      </w:r>
      <w:r w:rsidRPr="009264DD">
        <w:rPr>
          <w:rFonts w:ascii="Times New Roman" w:hAnsi="Times New Roman" w:cs="Times New Roman"/>
          <w:sz w:val="24"/>
          <w:szCs w:val="24"/>
        </w:rPr>
        <w:t xml:space="preserve"> đại diện cho các giai đoạn của chu kỳ kinh doanh.</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Ngoài ra, tương tự </w:t>
      </w:r>
      <w:r>
        <w:rPr>
          <w:rFonts w:ascii="Times New Roman" w:hAnsi="Times New Roman" w:cs="Times New Roman"/>
          <w:noProof/>
          <w:sz w:val="24"/>
          <w:szCs w:val="24"/>
        </w:rPr>
        <w:t>Võ Xuân Vinh &amp; Phạm Hồng Vy (2017)</w:t>
      </w:r>
      <w:r>
        <w:rPr>
          <w:rFonts w:ascii="Times New Roman" w:hAnsi="Times New Roman" w:cs="Times New Roman"/>
          <w:sz w:val="24"/>
          <w:szCs w:val="24"/>
        </w:rPr>
        <w:t xml:space="preserve">, bài báo sử dụng thêm các biến trễ của rủi ro thanh khoản và rủi ro tín dụng </w:t>
      </w:r>
      <w:r w:rsidRPr="007A73B4">
        <w:rPr>
          <w:rFonts w:ascii="Times New Roman" w:hAnsi="Times New Roman" w:cs="Times New Roman"/>
          <w:sz w:val="24"/>
          <w:szCs w:val="24"/>
        </w:rPr>
        <w:t>(CR</w:t>
      </w:r>
      <w:r w:rsidRPr="007A73B4">
        <w:rPr>
          <w:rFonts w:ascii="Times New Roman" w:hAnsi="Times New Roman" w:cs="Times New Roman"/>
          <w:sz w:val="24"/>
          <w:szCs w:val="24"/>
          <w:vertAlign w:val="subscript"/>
        </w:rPr>
        <w:t>i, t-1</w:t>
      </w:r>
      <w:r w:rsidRPr="007A73B4">
        <w:rPr>
          <w:rFonts w:ascii="Times New Roman" w:hAnsi="Times New Roman" w:cs="Times New Roman"/>
          <w:sz w:val="24"/>
          <w:szCs w:val="24"/>
          <w:vertAlign w:val="subscript"/>
        </w:rPr>
        <w:softHyphen/>
      </w:r>
      <w:r w:rsidRPr="007A73B4">
        <w:rPr>
          <w:rFonts w:ascii="Times New Roman" w:hAnsi="Times New Roman" w:cs="Times New Roman"/>
          <w:sz w:val="24"/>
          <w:szCs w:val="24"/>
        </w:rPr>
        <w:t xml:space="preserve"> và LR</w:t>
      </w:r>
      <w:r w:rsidRPr="007A73B4">
        <w:rPr>
          <w:rFonts w:ascii="Times New Roman" w:hAnsi="Times New Roman" w:cs="Times New Roman"/>
          <w:sz w:val="24"/>
          <w:szCs w:val="24"/>
          <w:vertAlign w:val="subscript"/>
        </w:rPr>
        <w:t>i, t-1</w:t>
      </w:r>
      <w:r w:rsidRPr="00AC0219">
        <w:rPr>
          <w:rFonts w:ascii="Times New Roman" w:hAnsi="Times New Roman" w:cs="Times New Roman"/>
          <w:sz w:val="24"/>
          <w:szCs w:val="24"/>
        </w:rPr>
        <w:t>)</w:t>
      </w:r>
      <w:r>
        <w:rPr>
          <w:rFonts w:ascii="Times New Roman" w:hAnsi="Times New Roman" w:cs="Times New Roman"/>
          <w:sz w:val="24"/>
          <w:szCs w:val="24"/>
        </w:rPr>
        <w:t xml:space="preserve"> trong mô hình để giải thích rủi ro thanh khoản.</w:t>
      </w:r>
    </w:p>
    <w:p w:rsidR="00433FFF" w:rsidRDefault="00433FFF" w:rsidP="001E7A86">
      <w:pPr>
        <w:spacing w:before="120" w:after="120" w:line="240" w:lineRule="auto"/>
        <w:jc w:val="both"/>
        <w:rPr>
          <w:rFonts w:ascii="Times New Roman" w:hAnsi="Times New Roman" w:cs="Times New Roman"/>
          <w:b/>
          <w:i/>
          <w:sz w:val="24"/>
          <w:szCs w:val="24"/>
        </w:rPr>
      </w:pPr>
      <w:r w:rsidRPr="009264DD">
        <w:rPr>
          <w:rFonts w:ascii="Times New Roman" w:hAnsi="Times New Roman" w:cs="Times New Roman"/>
          <w:b/>
          <w:i/>
          <w:sz w:val="24"/>
          <w:szCs w:val="24"/>
        </w:rPr>
        <w:t>3.2</w:t>
      </w:r>
      <w:r>
        <w:rPr>
          <w:rFonts w:ascii="Times New Roman" w:hAnsi="Times New Roman" w:cs="Times New Roman"/>
          <w:b/>
          <w:i/>
          <w:sz w:val="24"/>
          <w:szCs w:val="24"/>
        </w:rPr>
        <w:t>.</w:t>
      </w:r>
      <w:r w:rsidRPr="009264DD">
        <w:rPr>
          <w:rFonts w:ascii="Times New Roman" w:hAnsi="Times New Roman" w:cs="Times New Roman"/>
          <w:b/>
          <w:i/>
          <w:sz w:val="24"/>
          <w:szCs w:val="24"/>
        </w:rPr>
        <w:t xml:space="preserve"> Dữ liệu nghiên cứ</w:t>
      </w:r>
      <w:bookmarkStart w:id="11" w:name="OLE_LINK32"/>
      <w:bookmarkStart w:id="12" w:name="OLE_LINK33"/>
      <w:r>
        <w:rPr>
          <w:rFonts w:ascii="Times New Roman" w:hAnsi="Times New Roman" w:cs="Times New Roman"/>
          <w:b/>
          <w:i/>
          <w:sz w:val="24"/>
          <w:szCs w:val="24"/>
        </w:rPr>
        <w:t>u</w:t>
      </w:r>
    </w:p>
    <w:p w:rsidR="00433FFF" w:rsidRPr="009264DD"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sz w:val="24"/>
          <w:szCs w:val="24"/>
        </w:rPr>
        <w:t>Dữ liệu thuộc nội bộ các ngân hàng được thu thập thủ công từ báo cáo tài chính đã kiểm toán</w:t>
      </w:r>
      <w:r>
        <w:rPr>
          <w:rFonts w:ascii="Times New Roman" w:hAnsi="Times New Roman" w:cs="Times New Roman"/>
          <w:sz w:val="24"/>
          <w:szCs w:val="24"/>
        </w:rPr>
        <w:t xml:space="preserve"> và </w:t>
      </w:r>
      <w:r w:rsidRPr="009264DD">
        <w:rPr>
          <w:rFonts w:ascii="Times New Roman" w:hAnsi="Times New Roman" w:cs="Times New Roman"/>
          <w:sz w:val="24"/>
          <w:szCs w:val="24"/>
        </w:rPr>
        <w:t>báo cáo thường niên của 35 ngân hàng thương mại Việt Nam từ 2009 – 2015. Các biến vĩ mô</w:t>
      </w:r>
      <w:r>
        <w:rPr>
          <w:rFonts w:ascii="Times New Roman" w:hAnsi="Times New Roman" w:cs="Times New Roman"/>
          <w:sz w:val="24"/>
          <w:szCs w:val="24"/>
        </w:rPr>
        <w:t xml:space="preserve"> (lãi suất, tỷ lệ lạm phát và tăng trưởng </w:t>
      </w:r>
      <w:r w:rsidRPr="00266738">
        <w:rPr>
          <w:rFonts w:ascii="Times New Roman" w:hAnsi="Times New Roman" w:cs="Times New Roman"/>
          <w:sz w:val="24"/>
          <w:szCs w:val="24"/>
        </w:rPr>
        <w:t>GDP</w:t>
      </w:r>
      <w:r>
        <w:rPr>
          <w:rFonts w:ascii="Times New Roman" w:hAnsi="Times New Roman" w:cs="Times New Roman"/>
          <w:sz w:val="24"/>
          <w:szCs w:val="24"/>
        </w:rPr>
        <w:t>)</w:t>
      </w:r>
      <w:r w:rsidRPr="00266738">
        <w:rPr>
          <w:rFonts w:ascii="Times New Roman" w:hAnsi="Times New Roman" w:cs="Times New Roman"/>
          <w:sz w:val="24"/>
          <w:szCs w:val="24"/>
        </w:rPr>
        <w:t xml:space="preserve"> được thu</w:t>
      </w:r>
      <w:r w:rsidRPr="009264DD">
        <w:rPr>
          <w:rFonts w:ascii="Times New Roman" w:hAnsi="Times New Roman" w:cs="Times New Roman"/>
          <w:sz w:val="24"/>
          <w:szCs w:val="24"/>
        </w:rPr>
        <w:t xml:space="preserve"> thập từ cơ sở dữ liệu của </w:t>
      </w:r>
      <w:r w:rsidRPr="00266738">
        <w:rPr>
          <w:rFonts w:ascii="Times New Roman" w:hAnsi="Times New Roman" w:cs="Times New Roman"/>
          <w:sz w:val="24"/>
          <w:szCs w:val="24"/>
        </w:rPr>
        <w:t xml:space="preserve">IMF và </w:t>
      </w:r>
      <w:r>
        <w:rPr>
          <w:rFonts w:ascii="Times New Roman" w:hAnsi="Times New Roman" w:cs="Times New Roman"/>
          <w:sz w:val="24"/>
          <w:szCs w:val="24"/>
        </w:rPr>
        <w:t>b</w:t>
      </w:r>
      <w:r w:rsidRPr="009264DD">
        <w:rPr>
          <w:rFonts w:ascii="Times New Roman" w:hAnsi="Times New Roman" w:cs="Times New Roman"/>
          <w:sz w:val="24"/>
          <w:szCs w:val="24"/>
        </w:rPr>
        <w:t xml:space="preserve">áo cáo thường niên </w:t>
      </w:r>
      <w:r>
        <w:rPr>
          <w:rFonts w:ascii="Times New Roman" w:hAnsi="Times New Roman" w:cs="Times New Roman"/>
          <w:sz w:val="24"/>
          <w:szCs w:val="24"/>
        </w:rPr>
        <w:t xml:space="preserve">của </w:t>
      </w:r>
      <w:r w:rsidRPr="009264DD">
        <w:rPr>
          <w:rFonts w:ascii="Times New Roman" w:hAnsi="Times New Roman" w:cs="Times New Roman"/>
          <w:sz w:val="24"/>
          <w:szCs w:val="24"/>
        </w:rPr>
        <w:t>NHNN Việt Nam.</w:t>
      </w:r>
      <w:bookmarkEnd w:id="11"/>
      <w:bookmarkEnd w:id="12"/>
    </w:p>
    <w:p w:rsidR="00433FFF" w:rsidRPr="009264DD" w:rsidRDefault="00433FFF" w:rsidP="001E7A86">
      <w:pPr>
        <w:spacing w:before="120" w:after="120" w:line="240" w:lineRule="auto"/>
        <w:jc w:val="both"/>
        <w:rPr>
          <w:rFonts w:ascii="Times New Roman" w:hAnsi="Times New Roman" w:cs="Times New Roman"/>
          <w:sz w:val="24"/>
          <w:szCs w:val="24"/>
        </w:rPr>
      </w:pPr>
      <w:r>
        <w:rPr>
          <w:rFonts w:ascii="Times New Roman" w:hAnsi="Times New Roman" w:cs="Times New Roman"/>
          <w:b/>
          <w:i/>
          <w:sz w:val="24"/>
          <w:szCs w:val="24"/>
        </w:rPr>
        <w:t>3.3.</w:t>
      </w:r>
      <w:r w:rsidRPr="009264DD">
        <w:rPr>
          <w:rFonts w:ascii="Times New Roman" w:hAnsi="Times New Roman" w:cs="Times New Roman"/>
          <w:b/>
          <w:i/>
          <w:sz w:val="24"/>
          <w:szCs w:val="24"/>
        </w:rPr>
        <w:t xml:space="preserve"> Phương pháp </w:t>
      </w:r>
      <w:r>
        <w:rPr>
          <w:rFonts w:ascii="Times New Roman" w:hAnsi="Times New Roman" w:cs="Times New Roman"/>
          <w:b/>
          <w:i/>
          <w:sz w:val="24"/>
          <w:szCs w:val="24"/>
        </w:rPr>
        <w:t>ước lượng</w:t>
      </w:r>
      <w:r w:rsidRPr="009264DD">
        <w:rPr>
          <w:rFonts w:ascii="Times New Roman" w:hAnsi="Times New Roman" w:cs="Times New Roman"/>
          <w:b/>
          <w:i/>
          <w:sz w:val="24"/>
          <w:szCs w:val="24"/>
        </w:rPr>
        <w:t xml:space="preserve">: </w:t>
      </w:r>
    </w:p>
    <w:p w:rsidR="00433FFF" w:rsidRPr="00697ED0" w:rsidRDefault="00433FFF" w:rsidP="00433FFF">
      <w:pPr>
        <w:spacing w:before="120" w:after="120" w:line="240" w:lineRule="auto"/>
        <w:ind w:firstLine="720"/>
        <w:jc w:val="both"/>
        <w:rPr>
          <w:rFonts w:ascii="Times New Roman" w:hAnsi="Times New Roman" w:cs="Times New Roman"/>
          <w:sz w:val="24"/>
          <w:szCs w:val="24"/>
        </w:rPr>
      </w:pPr>
      <w:r w:rsidRPr="00697ED0">
        <w:rPr>
          <w:rFonts w:ascii="Times New Roman" w:hAnsi="Times New Roman" w:cs="Times New Roman"/>
          <w:sz w:val="24"/>
          <w:szCs w:val="24"/>
        </w:rPr>
        <w:t xml:space="preserve">Nghiên cứu sử dụng phương pháp nghiên cứu định lượng để xem xét tác động của sở hữu nước ngoài đến thanh khoản của các ngân hàng thương mại Việt Nam. Đối với dữ liệu bảng, các nhà nghiên cứu thường sử dụng mô hình hồi quy OLS, mô hình hồi quy tác động ngẫu nhiên (REM) và mô hình hồi quy tác động cố định (REM). Trong ba phương pháp trên, phương pháp hồi quy OLS là đơn giản nhất. Với </w:t>
      </w:r>
      <w:r>
        <w:rPr>
          <w:rFonts w:ascii="Times New Roman" w:hAnsi="Times New Roman" w:cs="Times New Roman"/>
          <w:sz w:val="24"/>
          <w:szCs w:val="24"/>
        </w:rPr>
        <w:t>ước lượng OLS</w:t>
      </w:r>
      <w:r w:rsidRPr="00697ED0">
        <w:rPr>
          <w:rFonts w:ascii="Times New Roman" w:hAnsi="Times New Roman" w:cs="Times New Roman"/>
          <w:sz w:val="24"/>
          <w:szCs w:val="24"/>
        </w:rPr>
        <w:t xml:space="preserve">, những giả định về đa cộng tuyến, hiện tượng tự tương quan, hiện tượng phương sai sai số thay đổi không được xem xét tới. Tùy thuộc vào mục tiêu nghiên cứu, đặc điểm dữ liệu, đặc điểm của mô hình, các nghiên cứu sẽ lựa chọn các mô hình hồi quy khác nhau. Do những hạn chế </w:t>
      </w:r>
      <w:r>
        <w:rPr>
          <w:rFonts w:ascii="Times New Roman" w:hAnsi="Times New Roman" w:cs="Times New Roman"/>
          <w:sz w:val="24"/>
          <w:szCs w:val="24"/>
        </w:rPr>
        <w:t xml:space="preserve">nêu trên </w:t>
      </w:r>
      <w:r w:rsidRPr="00697ED0">
        <w:rPr>
          <w:rFonts w:ascii="Times New Roman" w:hAnsi="Times New Roman" w:cs="Times New Roman"/>
          <w:sz w:val="24"/>
          <w:szCs w:val="24"/>
        </w:rPr>
        <w:t xml:space="preserve">của </w:t>
      </w:r>
      <w:r>
        <w:rPr>
          <w:rFonts w:ascii="Times New Roman" w:hAnsi="Times New Roman" w:cs="Times New Roman"/>
          <w:sz w:val="24"/>
          <w:szCs w:val="24"/>
        </w:rPr>
        <w:t>ước lượng</w:t>
      </w:r>
      <w:r w:rsidRPr="00697ED0">
        <w:rPr>
          <w:rFonts w:ascii="Times New Roman" w:hAnsi="Times New Roman" w:cs="Times New Roman"/>
          <w:sz w:val="24"/>
          <w:szCs w:val="24"/>
        </w:rPr>
        <w:t xml:space="preserve"> OLS, bài báo này sử dụng hai phương pháp hồi quy cho dữ liệu bảng FEM và REM. Kiểm định Hausman được sử dụng để lựa chọn mô hình </w:t>
      </w:r>
      <w:r>
        <w:rPr>
          <w:rFonts w:ascii="Times New Roman" w:hAnsi="Times New Roman" w:cs="Times New Roman"/>
          <w:sz w:val="24"/>
          <w:szCs w:val="24"/>
        </w:rPr>
        <w:t>tối ưu nhất.</w:t>
      </w:r>
    </w:p>
    <w:p w:rsidR="00433FFF" w:rsidRPr="00CC0606" w:rsidRDefault="00433FFF" w:rsidP="001E7A86">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9264DD">
        <w:rPr>
          <w:rFonts w:ascii="Times New Roman" w:hAnsi="Times New Roman" w:cs="Times New Roman"/>
          <w:b/>
          <w:sz w:val="24"/>
          <w:szCs w:val="24"/>
        </w:rPr>
        <w:t>Kết quả nghiên cứu và thảo luận</w:t>
      </w:r>
    </w:p>
    <w:p w:rsidR="00433FFF" w:rsidRDefault="00433FFF" w:rsidP="001E7A86">
      <w:pPr>
        <w:spacing w:before="120" w:after="120" w:line="360" w:lineRule="auto"/>
        <w:jc w:val="both"/>
        <w:rPr>
          <w:rFonts w:ascii="Times New Roman" w:hAnsi="Times New Roman" w:cs="Times New Roman"/>
          <w:b/>
          <w:i/>
          <w:sz w:val="24"/>
          <w:szCs w:val="24"/>
        </w:rPr>
      </w:pPr>
      <w:r>
        <w:rPr>
          <w:rFonts w:ascii="Times New Roman" w:hAnsi="Times New Roman" w:cs="Times New Roman"/>
          <w:b/>
          <w:i/>
          <w:sz w:val="24"/>
          <w:szCs w:val="24"/>
        </w:rPr>
        <w:t>4.1.</w:t>
      </w:r>
      <w:r w:rsidRPr="009264DD">
        <w:rPr>
          <w:rFonts w:ascii="Times New Roman" w:hAnsi="Times New Roman" w:cs="Times New Roman"/>
          <w:b/>
          <w:i/>
          <w:sz w:val="24"/>
          <w:szCs w:val="24"/>
        </w:rPr>
        <w:t xml:space="preserve"> Thống kê mô tả </w:t>
      </w:r>
    </w:p>
    <w:p w:rsidR="00433FFF" w:rsidRPr="00586F9A"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Bảng 1 dưới đây thể hiện kết quả thống kê mô tả các biến trong mô hình nghiên cứu. Tỷ lệ rủi ro thanh khoản trung bình toàn mẫu là 50,17%, giá trị cao nhất là 93,56% (MDB năm 2009) và thấp nhất là 11,37% (Ngân hàng Tiên Phong năm 2009). Tuy nhiên, nhìn chung, mức chênh lệch rủi ro thanh khoản giữa các ngân hàng không lớn (độ lệch chuẩn chỉ ở mức 13,98%). Giá trị trung bình cao và độ lệch chuẩn thấp chứng tỏ rủi ro thanh khoản của các ngân hàng thương mại đang ở mức cao. </w:t>
      </w:r>
      <w:r w:rsidR="00D7734C">
        <w:rPr>
          <w:rFonts w:ascii="Times New Roman" w:hAnsi="Times New Roman" w:cs="Times New Roman"/>
          <w:sz w:val="24"/>
          <w:szCs w:val="24"/>
        </w:rPr>
        <w:t xml:space="preserve">Tỷ lệ sở hữu nước ngoài trung bình trong mẫu là 5%, cao nhất là 29,78% (NH TMCP Công thương Việt Nam năm 2015) và thấp nhất là 0%. Kết quả trên cho thấy tỷ lệ sở hữu của cổ đông nước ngoài tại các ngân hàng Việt Nam còn khá khiêm tốn, có độ chênh lệch không lớn giữa các ngân hàng (thể hiện độ lệch chuẩn chỉ ở mức 8%). </w:t>
      </w:r>
      <w:r>
        <w:rPr>
          <w:rFonts w:ascii="Times New Roman" w:hAnsi="Times New Roman" w:cs="Times New Roman"/>
          <w:sz w:val="24"/>
          <w:szCs w:val="24"/>
        </w:rPr>
        <w:t xml:space="preserve">Bảng cũng cho </w:t>
      </w:r>
      <w:r>
        <w:rPr>
          <w:rFonts w:ascii="Times New Roman" w:hAnsi="Times New Roman" w:cs="Times New Roman"/>
          <w:sz w:val="24"/>
          <w:szCs w:val="24"/>
        </w:rPr>
        <w:lastRenderedPageBreak/>
        <w:t>thấy, tỷ lệ rủi ro tín dụng trung bình toàn mẫu là 2,6%, cao nhất là 2,99% (Agribank năm 2012</w:t>
      </w:r>
      <w:r w:rsidRPr="00AC0219">
        <w:rPr>
          <w:rFonts w:ascii="Times New Roman" w:hAnsi="Times New Roman" w:cs="Times New Roman"/>
          <w:sz w:val="24"/>
          <w:szCs w:val="24"/>
        </w:rPr>
        <w:t>),</w:t>
      </w:r>
      <w:r>
        <w:rPr>
          <w:rFonts w:ascii="Times New Roman" w:hAnsi="Times New Roman" w:cs="Times New Roman"/>
          <w:sz w:val="24"/>
          <w:szCs w:val="24"/>
        </w:rPr>
        <w:t xml:space="preserve"> thấp nhất là 0,03% (SHB năm 2011) và độ lệch chuẩn là 28,9%.</w:t>
      </w:r>
    </w:p>
    <w:p w:rsidR="00433FFF" w:rsidRDefault="00433FFF" w:rsidP="001E7A86">
      <w:pPr>
        <w:spacing w:before="120" w:after="120" w:line="360" w:lineRule="auto"/>
        <w:jc w:val="both"/>
        <w:rPr>
          <w:rFonts w:ascii="Times New Roman" w:hAnsi="Times New Roman" w:cs="Times New Roman"/>
          <w:b/>
          <w:i/>
          <w:sz w:val="24"/>
          <w:szCs w:val="24"/>
        </w:rPr>
      </w:pPr>
      <w:r w:rsidRPr="009264DD">
        <w:rPr>
          <w:rFonts w:ascii="Times New Roman" w:hAnsi="Times New Roman" w:cs="Times New Roman"/>
          <w:b/>
          <w:i/>
          <w:sz w:val="24"/>
          <w:szCs w:val="24"/>
        </w:rPr>
        <w:t>Bảng 1: Thống kê mô tả mẫu nghiên cứu</w:t>
      </w:r>
    </w:p>
    <w:tbl>
      <w:tblPr>
        <w:tblW w:w="5000" w:type="pct"/>
        <w:tblLook w:val="04A0" w:firstRow="1" w:lastRow="0" w:firstColumn="1" w:lastColumn="0" w:noHBand="0" w:noVBand="1"/>
      </w:tblPr>
      <w:tblGrid>
        <w:gridCol w:w="1230"/>
        <w:gridCol w:w="1404"/>
        <w:gridCol w:w="295"/>
        <w:gridCol w:w="1364"/>
        <w:gridCol w:w="295"/>
        <w:gridCol w:w="1364"/>
        <w:gridCol w:w="295"/>
        <w:gridCol w:w="1397"/>
        <w:gridCol w:w="262"/>
        <w:gridCol w:w="1670"/>
      </w:tblGrid>
      <w:tr w:rsidR="00433FFF" w:rsidRPr="00DE66C6" w:rsidTr="008E295E">
        <w:trPr>
          <w:trHeight w:val="319"/>
        </w:trPr>
        <w:tc>
          <w:tcPr>
            <w:tcW w:w="642" w:type="pct"/>
            <w:tcBorders>
              <w:top w:val="single" w:sz="4" w:space="0" w:color="auto"/>
              <w:left w:val="nil"/>
              <w:bottom w:val="single" w:sz="4" w:space="0" w:color="auto"/>
              <w:right w:val="nil"/>
            </w:tcBorders>
            <w:shd w:val="clear" w:color="auto" w:fill="auto"/>
            <w:noWrap/>
            <w:vAlign w:val="center"/>
            <w:hideMark/>
          </w:tcPr>
          <w:p w:rsidR="00433FFF" w:rsidRPr="00DE66C6" w:rsidRDefault="00433FFF" w:rsidP="001E7A86">
            <w:pPr>
              <w:spacing w:after="0" w:line="240" w:lineRule="auto"/>
              <w:jc w:val="center"/>
              <w:rPr>
                <w:rFonts w:ascii="Times New Roman" w:eastAsia="Times New Roman" w:hAnsi="Times New Roman" w:cs="Times New Roman"/>
                <w:b/>
                <w:bCs/>
                <w:color w:val="000000"/>
                <w:sz w:val="24"/>
                <w:szCs w:val="24"/>
              </w:rPr>
            </w:pPr>
          </w:p>
        </w:tc>
        <w:tc>
          <w:tcPr>
            <w:tcW w:w="733" w:type="pct"/>
            <w:tcBorders>
              <w:top w:val="single" w:sz="4" w:space="0" w:color="auto"/>
              <w:left w:val="nil"/>
              <w:bottom w:val="single" w:sz="4" w:space="0" w:color="auto"/>
              <w:right w:val="nil"/>
            </w:tcBorders>
            <w:shd w:val="clear" w:color="auto" w:fill="auto"/>
            <w:noWrap/>
            <w:vAlign w:val="center"/>
            <w:hideMark/>
          </w:tcPr>
          <w:p w:rsidR="00433FFF" w:rsidRPr="004447BA" w:rsidRDefault="00433FFF" w:rsidP="001E7A86">
            <w:pPr>
              <w:spacing w:after="0" w:line="240" w:lineRule="auto"/>
              <w:jc w:val="center"/>
              <w:rPr>
                <w:rFonts w:ascii="Times New Roman" w:eastAsia="Times New Roman" w:hAnsi="Times New Roman" w:cs="Times New Roman"/>
                <w:b/>
                <w:bCs/>
                <w:color w:val="000000"/>
                <w:sz w:val="24"/>
                <w:szCs w:val="24"/>
              </w:rPr>
            </w:pPr>
            <w:r w:rsidRPr="004447BA">
              <w:rPr>
                <w:rFonts w:ascii="Times New Roman" w:eastAsia="Times New Roman" w:hAnsi="Times New Roman" w:cs="Times New Roman"/>
                <w:b/>
                <w:bCs/>
                <w:color w:val="000000"/>
                <w:sz w:val="24"/>
                <w:szCs w:val="24"/>
              </w:rPr>
              <w:t>Số quan sát</w:t>
            </w:r>
          </w:p>
        </w:tc>
        <w:tc>
          <w:tcPr>
            <w:tcW w:w="154" w:type="pct"/>
            <w:tcBorders>
              <w:top w:val="single" w:sz="4" w:space="0" w:color="auto"/>
              <w:left w:val="nil"/>
              <w:bottom w:val="nil"/>
              <w:right w:val="nil"/>
            </w:tcBorders>
            <w:shd w:val="clear" w:color="auto" w:fill="auto"/>
            <w:noWrap/>
            <w:vAlign w:val="center"/>
            <w:hideMark/>
          </w:tcPr>
          <w:p w:rsidR="00433FFF" w:rsidRPr="004447BA" w:rsidRDefault="00433FFF" w:rsidP="001E7A86">
            <w:pPr>
              <w:spacing w:after="0" w:line="240" w:lineRule="auto"/>
              <w:jc w:val="center"/>
              <w:rPr>
                <w:rFonts w:ascii="Times New Roman" w:eastAsia="Times New Roman" w:hAnsi="Times New Roman" w:cs="Times New Roman"/>
                <w:b/>
                <w:bCs/>
                <w:color w:val="000000"/>
                <w:sz w:val="24"/>
                <w:szCs w:val="24"/>
              </w:rPr>
            </w:pPr>
          </w:p>
        </w:tc>
        <w:tc>
          <w:tcPr>
            <w:tcW w:w="712" w:type="pct"/>
            <w:tcBorders>
              <w:top w:val="single" w:sz="4" w:space="0" w:color="auto"/>
              <w:left w:val="nil"/>
              <w:bottom w:val="single" w:sz="4" w:space="0" w:color="auto"/>
              <w:right w:val="nil"/>
            </w:tcBorders>
            <w:shd w:val="clear" w:color="auto" w:fill="auto"/>
            <w:noWrap/>
            <w:vAlign w:val="center"/>
            <w:hideMark/>
          </w:tcPr>
          <w:p w:rsidR="00433FFF" w:rsidRPr="00DE66C6" w:rsidRDefault="008E295E" w:rsidP="001E7A86">
            <w:pPr>
              <w:spacing w:after="0" w:line="240" w:lineRule="auto"/>
              <w:jc w:val="center"/>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Nhỏ nhất</w:t>
            </w:r>
          </w:p>
        </w:tc>
        <w:tc>
          <w:tcPr>
            <w:tcW w:w="154" w:type="pct"/>
            <w:tcBorders>
              <w:top w:val="single" w:sz="4" w:space="0" w:color="auto"/>
              <w:left w:val="nil"/>
              <w:bottom w:val="nil"/>
              <w:right w:val="nil"/>
            </w:tcBorders>
            <w:shd w:val="clear" w:color="auto" w:fill="auto"/>
            <w:noWrap/>
            <w:vAlign w:val="center"/>
          </w:tcPr>
          <w:p w:rsidR="00433FFF" w:rsidRPr="00DE66C6" w:rsidRDefault="00433FFF" w:rsidP="001E7A86">
            <w:pPr>
              <w:spacing w:after="0" w:line="240" w:lineRule="auto"/>
              <w:jc w:val="center"/>
              <w:rPr>
                <w:rFonts w:ascii="Times New Roman" w:eastAsia="Times New Roman" w:hAnsi="Times New Roman" w:cs="Times New Roman"/>
                <w:b/>
                <w:bCs/>
                <w:color w:val="000000"/>
                <w:sz w:val="24"/>
                <w:szCs w:val="24"/>
              </w:rPr>
            </w:pPr>
          </w:p>
        </w:tc>
        <w:tc>
          <w:tcPr>
            <w:tcW w:w="712" w:type="pct"/>
            <w:tcBorders>
              <w:top w:val="single" w:sz="4" w:space="0" w:color="auto"/>
              <w:left w:val="nil"/>
              <w:bottom w:val="single" w:sz="4" w:space="0" w:color="auto"/>
              <w:right w:val="nil"/>
            </w:tcBorders>
            <w:shd w:val="clear" w:color="auto" w:fill="auto"/>
            <w:noWrap/>
            <w:vAlign w:val="center"/>
            <w:hideMark/>
          </w:tcPr>
          <w:p w:rsidR="00433FFF" w:rsidRPr="00DE66C6" w:rsidRDefault="00433FFF" w:rsidP="001E7A86">
            <w:pPr>
              <w:spacing w:after="0" w:line="240" w:lineRule="auto"/>
              <w:jc w:val="center"/>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Lớn nhất</w:t>
            </w:r>
          </w:p>
        </w:tc>
        <w:tc>
          <w:tcPr>
            <w:tcW w:w="154" w:type="pct"/>
            <w:tcBorders>
              <w:top w:val="single" w:sz="4" w:space="0" w:color="auto"/>
              <w:left w:val="nil"/>
              <w:bottom w:val="nil"/>
              <w:right w:val="nil"/>
            </w:tcBorders>
            <w:shd w:val="clear" w:color="auto" w:fill="auto"/>
            <w:noWrap/>
            <w:vAlign w:val="center"/>
            <w:hideMark/>
          </w:tcPr>
          <w:p w:rsidR="00433FFF" w:rsidRPr="00DE66C6" w:rsidRDefault="00433FFF" w:rsidP="001E7A86">
            <w:pPr>
              <w:spacing w:after="0" w:line="240" w:lineRule="auto"/>
              <w:jc w:val="center"/>
              <w:rPr>
                <w:rFonts w:ascii="Times New Roman" w:eastAsia="Times New Roman" w:hAnsi="Times New Roman" w:cs="Times New Roman"/>
                <w:b/>
                <w:bCs/>
                <w:color w:val="000000"/>
                <w:sz w:val="24"/>
                <w:szCs w:val="24"/>
              </w:rPr>
            </w:pPr>
          </w:p>
        </w:tc>
        <w:tc>
          <w:tcPr>
            <w:tcW w:w="729" w:type="pct"/>
            <w:tcBorders>
              <w:top w:val="single" w:sz="4" w:space="0" w:color="auto"/>
              <w:left w:val="nil"/>
              <w:bottom w:val="single" w:sz="4" w:space="0" w:color="auto"/>
              <w:right w:val="nil"/>
            </w:tcBorders>
            <w:shd w:val="clear" w:color="auto" w:fill="auto"/>
            <w:noWrap/>
            <w:vAlign w:val="center"/>
            <w:hideMark/>
          </w:tcPr>
          <w:p w:rsidR="00433FFF" w:rsidRPr="00DE66C6" w:rsidRDefault="008E295E" w:rsidP="001E7A86">
            <w:pPr>
              <w:spacing w:after="0" w:line="240" w:lineRule="auto"/>
              <w:jc w:val="center"/>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Trung bình</w:t>
            </w:r>
          </w:p>
        </w:tc>
        <w:tc>
          <w:tcPr>
            <w:tcW w:w="137" w:type="pct"/>
            <w:tcBorders>
              <w:top w:val="single" w:sz="4" w:space="0" w:color="auto"/>
              <w:left w:val="nil"/>
              <w:bottom w:val="nil"/>
              <w:right w:val="nil"/>
            </w:tcBorders>
            <w:shd w:val="clear" w:color="auto" w:fill="auto"/>
            <w:noWrap/>
            <w:vAlign w:val="center"/>
            <w:hideMark/>
          </w:tcPr>
          <w:p w:rsidR="00433FFF" w:rsidRPr="00DE66C6" w:rsidRDefault="00433FFF" w:rsidP="001E7A86">
            <w:pPr>
              <w:spacing w:after="0" w:line="240" w:lineRule="auto"/>
              <w:jc w:val="center"/>
              <w:rPr>
                <w:rFonts w:ascii="Times New Roman" w:eastAsia="Times New Roman" w:hAnsi="Times New Roman" w:cs="Times New Roman"/>
                <w:b/>
                <w:bCs/>
                <w:color w:val="000000"/>
                <w:sz w:val="24"/>
                <w:szCs w:val="24"/>
              </w:rPr>
            </w:pPr>
          </w:p>
        </w:tc>
        <w:tc>
          <w:tcPr>
            <w:tcW w:w="872" w:type="pct"/>
            <w:tcBorders>
              <w:top w:val="single" w:sz="4" w:space="0" w:color="auto"/>
              <w:left w:val="nil"/>
              <w:bottom w:val="single" w:sz="4" w:space="0" w:color="auto"/>
              <w:right w:val="nil"/>
            </w:tcBorders>
            <w:shd w:val="clear" w:color="auto" w:fill="auto"/>
            <w:noWrap/>
            <w:vAlign w:val="center"/>
            <w:hideMark/>
          </w:tcPr>
          <w:p w:rsidR="00433FFF" w:rsidRPr="00DE66C6" w:rsidRDefault="00433FFF" w:rsidP="001E7A86">
            <w:pPr>
              <w:spacing w:after="0" w:line="240" w:lineRule="auto"/>
              <w:jc w:val="center"/>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Độ lệch chuẩn</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CL</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229</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1448</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9356</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5078</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1398</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FOWN</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229</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0000</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,2978</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0542</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0829</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CL (-1)</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229</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1137</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b/>
                <w:bCs/>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9356</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5017</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1479</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CR</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229</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03</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0,0299</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0260</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2890</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CR (-1)</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229</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03</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0,0299</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0256</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2890</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EA</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229</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0291</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9279</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1156</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0925</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SIZE</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229</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4021</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b/>
                <w:bCs/>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9298</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8039</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5046</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DR</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7</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0506</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0660</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0125</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0319</w:t>
            </w:r>
          </w:p>
        </w:tc>
      </w:tr>
      <w:tr w:rsidR="008E295E" w:rsidRPr="00DE66C6" w:rsidTr="008E295E">
        <w:trPr>
          <w:trHeight w:val="319"/>
        </w:trPr>
        <w:tc>
          <w:tcPr>
            <w:tcW w:w="642" w:type="pct"/>
            <w:tcBorders>
              <w:top w:val="nil"/>
              <w:left w:val="nil"/>
              <w:bottom w:val="dotted"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IR</w:t>
            </w:r>
          </w:p>
        </w:tc>
        <w:tc>
          <w:tcPr>
            <w:tcW w:w="733"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7</w:t>
            </w:r>
          </w:p>
        </w:tc>
        <w:tc>
          <w:tcPr>
            <w:tcW w:w="154" w:type="pct"/>
            <w:tcBorders>
              <w:top w:val="nil"/>
              <w:left w:val="nil"/>
              <w:bottom w:val="dotted"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0561</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0360</w:t>
            </w:r>
          </w:p>
        </w:tc>
        <w:tc>
          <w:tcPr>
            <w:tcW w:w="154"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nil"/>
              <w:left w:val="nil"/>
              <w:bottom w:val="dotted"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0065</w:t>
            </w:r>
          </w:p>
        </w:tc>
        <w:tc>
          <w:tcPr>
            <w:tcW w:w="137"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nil"/>
              <w:left w:val="nil"/>
              <w:bottom w:val="dotted"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0308</w:t>
            </w:r>
          </w:p>
        </w:tc>
      </w:tr>
      <w:tr w:rsidR="008E295E" w:rsidRPr="00DE66C6" w:rsidTr="008E295E">
        <w:trPr>
          <w:trHeight w:val="319"/>
        </w:trPr>
        <w:tc>
          <w:tcPr>
            <w:tcW w:w="642" w:type="pct"/>
            <w:tcBorders>
              <w:top w:val="dotted" w:sz="4" w:space="0" w:color="auto"/>
              <w:left w:val="nil"/>
              <w:bottom w:val="single" w:sz="4" w:space="0" w:color="auto"/>
              <w:right w:val="nil"/>
            </w:tcBorders>
            <w:shd w:val="clear" w:color="auto" w:fill="auto"/>
            <w:noWrap/>
            <w:vAlign w:val="bottom"/>
            <w:hideMark/>
          </w:tcPr>
          <w:p w:rsidR="008E295E" w:rsidRPr="00DE66C6" w:rsidRDefault="008E295E" w:rsidP="001E7A86">
            <w:pPr>
              <w:spacing w:after="0" w:line="240" w:lineRule="auto"/>
              <w:rPr>
                <w:rFonts w:ascii="Times New Roman" w:eastAsia="Times New Roman" w:hAnsi="Times New Roman" w:cs="Times New Roman"/>
                <w:b/>
                <w:bCs/>
                <w:color w:val="000000"/>
                <w:sz w:val="24"/>
                <w:szCs w:val="24"/>
              </w:rPr>
            </w:pPr>
            <w:r w:rsidRPr="00DE66C6">
              <w:rPr>
                <w:rFonts w:ascii="Times New Roman" w:eastAsia="Times New Roman" w:hAnsi="Times New Roman" w:cs="Times New Roman"/>
                <w:b/>
                <w:bCs/>
                <w:color w:val="000000"/>
                <w:sz w:val="24"/>
                <w:szCs w:val="24"/>
              </w:rPr>
              <w:t>SMR</w:t>
            </w:r>
          </w:p>
        </w:tc>
        <w:tc>
          <w:tcPr>
            <w:tcW w:w="733" w:type="pct"/>
            <w:tcBorders>
              <w:top w:val="dotted" w:sz="4" w:space="0" w:color="auto"/>
              <w:left w:val="nil"/>
              <w:bottom w:val="single"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r w:rsidRPr="004447BA">
              <w:rPr>
                <w:rFonts w:ascii="Times New Roman" w:eastAsia="Times New Roman" w:hAnsi="Times New Roman" w:cs="Times New Roman"/>
                <w:color w:val="000000"/>
                <w:sz w:val="24"/>
                <w:szCs w:val="24"/>
              </w:rPr>
              <w:t>7</w:t>
            </w:r>
          </w:p>
        </w:tc>
        <w:tc>
          <w:tcPr>
            <w:tcW w:w="154" w:type="pct"/>
            <w:tcBorders>
              <w:top w:val="dotted" w:sz="4" w:space="0" w:color="auto"/>
              <w:left w:val="nil"/>
              <w:bottom w:val="single" w:sz="4" w:space="0" w:color="auto"/>
              <w:right w:val="nil"/>
            </w:tcBorders>
            <w:shd w:val="clear" w:color="auto" w:fill="auto"/>
            <w:noWrap/>
            <w:vAlign w:val="center"/>
            <w:hideMark/>
          </w:tcPr>
          <w:p w:rsidR="008E295E" w:rsidRPr="004447BA"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dotted" w:sz="4" w:space="0" w:color="auto"/>
              <w:left w:val="nil"/>
              <w:bottom w:val="single"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4993</w:t>
            </w:r>
          </w:p>
        </w:tc>
        <w:tc>
          <w:tcPr>
            <w:tcW w:w="154" w:type="pct"/>
            <w:tcBorders>
              <w:top w:val="dotted" w:sz="4" w:space="0" w:color="auto"/>
              <w:left w:val="nil"/>
              <w:bottom w:val="single"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12" w:type="pct"/>
            <w:tcBorders>
              <w:top w:val="dotted" w:sz="4" w:space="0" w:color="auto"/>
              <w:left w:val="nil"/>
              <w:bottom w:val="single"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8750</w:t>
            </w:r>
          </w:p>
        </w:tc>
        <w:tc>
          <w:tcPr>
            <w:tcW w:w="154" w:type="pct"/>
            <w:tcBorders>
              <w:top w:val="dotted" w:sz="4" w:space="0" w:color="auto"/>
              <w:left w:val="nil"/>
              <w:bottom w:val="single"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729" w:type="pct"/>
            <w:tcBorders>
              <w:top w:val="dotted" w:sz="4" w:space="0" w:color="auto"/>
              <w:left w:val="nil"/>
              <w:bottom w:val="single" w:sz="4" w:space="0" w:color="auto"/>
              <w:right w:val="nil"/>
            </w:tcBorders>
            <w:shd w:val="clear" w:color="auto" w:fill="auto"/>
            <w:noWrap/>
            <w:vAlign w:val="center"/>
            <w:hideMark/>
          </w:tcPr>
          <w:p w:rsidR="008E295E" w:rsidRPr="00DE66C6" w:rsidRDefault="008E295E" w:rsidP="00D24D1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1031</w:t>
            </w:r>
          </w:p>
        </w:tc>
        <w:tc>
          <w:tcPr>
            <w:tcW w:w="137" w:type="pct"/>
            <w:tcBorders>
              <w:top w:val="dotted" w:sz="4" w:space="0" w:color="auto"/>
              <w:left w:val="nil"/>
              <w:bottom w:val="single"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p>
        </w:tc>
        <w:tc>
          <w:tcPr>
            <w:tcW w:w="872" w:type="pct"/>
            <w:tcBorders>
              <w:top w:val="dotted" w:sz="4" w:space="0" w:color="auto"/>
              <w:left w:val="nil"/>
              <w:bottom w:val="single" w:sz="4" w:space="0" w:color="auto"/>
              <w:right w:val="nil"/>
            </w:tcBorders>
            <w:shd w:val="clear" w:color="auto" w:fill="auto"/>
            <w:noWrap/>
            <w:vAlign w:val="center"/>
            <w:hideMark/>
          </w:tcPr>
          <w:p w:rsidR="008E295E" w:rsidRPr="00DE66C6" w:rsidRDefault="008E295E" w:rsidP="001E7A86">
            <w:pPr>
              <w:spacing w:after="0" w:line="240" w:lineRule="auto"/>
              <w:jc w:val="center"/>
              <w:rPr>
                <w:rFonts w:ascii="Times New Roman" w:eastAsia="Times New Roman" w:hAnsi="Times New Roman" w:cs="Times New Roman"/>
                <w:color w:val="000000"/>
                <w:sz w:val="24"/>
                <w:szCs w:val="24"/>
              </w:rPr>
            </w:pPr>
            <w:r w:rsidRPr="00DE66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DE66C6">
              <w:rPr>
                <w:rFonts w:ascii="Times New Roman" w:eastAsia="Times New Roman" w:hAnsi="Times New Roman" w:cs="Times New Roman"/>
                <w:color w:val="000000"/>
                <w:sz w:val="24"/>
                <w:szCs w:val="24"/>
              </w:rPr>
              <w:t>7953</w:t>
            </w:r>
          </w:p>
        </w:tc>
      </w:tr>
    </w:tbl>
    <w:p w:rsidR="008E295E" w:rsidRDefault="00433FFF" w:rsidP="008E295E">
      <w:pPr>
        <w:tabs>
          <w:tab w:val="left" w:pos="3946"/>
        </w:tabs>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Nguồn: Tổng hợp của </w:t>
      </w:r>
      <w:r w:rsidR="009F2E72">
        <w:rPr>
          <w:rFonts w:ascii="Times New Roman" w:hAnsi="Times New Roman" w:cs="Times New Roman"/>
          <w:sz w:val="24"/>
          <w:szCs w:val="24"/>
        </w:rPr>
        <w:t xml:space="preserve">nhóm </w:t>
      </w:r>
      <w:r>
        <w:rPr>
          <w:rFonts w:ascii="Times New Roman" w:hAnsi="Times New Roman" w:cs="Times New Roman"/>
          <w:sz w:val="24"/>
          <w:szCs w:val="24"/>
        </w:rPr>
        <w:t>tác giả</w:t>
      </w:r>
    </w:p>
    <w:p w:rsidR="00433FFF" w:rsidRDefault="00433FFF" w:rsidP="008E295E">
      <w:pPr>
        <w:tabs>
          <w:tab w:val="left" w:pos="3946"/>
        </w:tabs>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ab/>
      </w:r>
    </w:p>
    <w:p w:rsidR="00433FFF" w:rsidRDefault="00433FFF" w:rsidP="001E7A8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Tỷ lệ vốn trên tổng tài sản cao nhất đạt 92,79% (SHB năm 2013), thấp nhất đạt 2,91% (MHB năm 2009) và độ lệch chuẩn là 9,2%. Tuy nhiên, giá trị trung bình của mẫu nghiên cứu là 11,56%. Điều đó cho thấy các ngân hàng có vốn tự có chưa cao, tiềm ẩn rủi ro thanh khoản lớn.</w:t>
      </w:r>
    </w:p>
    <w:p w:rsidR="00433FFF" w:rsidRDefault="00433FFF" w:rsidP="001E7A8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Giá trị trung bình của lãi suất huy động thực và lãi suất liên ngân hàng thực trong giai đoạn nghiên cứu lần lượt là 1,25% và -0,065%, độ lệch chuẩn là 3,19% và 3,08%, giá trị thấp nhất lần lượt là -5,61% và - 5,06%, giá trị cao nhất là 3,6% và DR 6,6%). </w:t>
      </w:r>
    </w:p>
    <w:p w:rsidR="00433FFF" w:rsidRPr="009264DD" w:rsidRDefault="00433FFF" w:rsidP="001E7A86">
      <w:pPr>
        <w:spacing w:before="120" w:after="120" w:line="240" w:lineRule="auto"/>
        <w:jc w:val="both"/>
        <w:rPr>
          <w:rFonts w:ascii="Times New Roman" w:hAnsi="Times New Roman" w:cs="Times New Roman"/>
          <w:b/>
          <w:i/>
          <w:sz w:val="24"/>
          <w:szCs w:val="24"/>
        </w:rPr>
      </w:pPr>
      <w:r w:rsidRPr="00872673">
        <w:rPr>
          <w:rFonts w:ascii="Times New Roman" w:hAnsi="Times New Roman" w:cs="Times New Roman"/>
          <w:b/>
          <w:i/>
          <w:sz w:val="24"/>
          <w:szCs w:val="24"/>
        </w:rPr>
        <w:t>4.2</w:t>
      </w:r>
      <w:r>
        <w:rPr>
          <w:rFonts w:ascii="Times New Roman" w:hAnsi="Times New Roman" w:cs="Times New Roman"/>
          <w:b/>
          <w:i/>
          <w:sz w:val="24"/>
          <w:szCs w:val="24"/>
        </w:rPr>
        <w:t>.</w:t>
      </w:r>
      <w:r w:rsidRPr="00872673">
        <w:rPr>
          <w:rFonts w:ascii="Times New Roman" w:hAnsi="Times New Roman" w:cs="Times New Roman"/>
          <w:b/>
          <w:i/>
          <w:sz w:val="24"/>
          <w:szCs w:val="24"/>
        </w:rPr>
        <w:t xml:space="preserve"> Hệ</w:t>
      </w:r>
      <w:r>
        <w:rPr>
          <w:rFonts w:ascii="Times New Roman" w:hAnsi="Times New Roman" w:cs="Times New Roman"/>
          <w:b/>
          <w:i/>
          <w:sz w:val="24"/>
          <w:szCs w:val="24"/>
        </w:rPr>
        <w:t xml:space="preserve"> số t</w:t>
      </w:r>
      <w:r w:rsidRPr="009264DD">
        <w:rPr>
          <w:rFonts w:ascii="Times New Roman" w:hAnsi="Times New Roman" w:cs="Times New Roman"/>
          <w:b/>
          <w:i/>
          <w:sz w:val="24"/>
          <w:szCs w:val="24"/>
        </w:rPr>
        <w:t xml:space="preserve">ương quan </w:t>
      </w:r>
      <w:r>
        <w:rPr>
          <w:rFonts w:ascii="Times New Roman" w:hAnsi="Times New Roman" w:cs="Times New Roman"/>
          <w:b/>
          <w:i/>
          <w:sz w:val="24"/>
          <w:szCs w:val="24"/>
        </w:rPr>
        <w:t xml:space="preserve">giữa </w:t>
      </w:r>
      <w:r w:rsidRPr="009264DD">
        <w:rPr>
          <w:rFonts w:ascii="Times New Roman" w:hAnsi="Times New Roman" w:cs="Times New Roman"/>
          <w:b/>
          <w:i/>
          <w:sz w:val="24"/>
          <w:szCs w:val="24"/>
        </w:rPr>
        <w:t>các biến</w:t>
      </w:r>
      <w:r>
        <w:rPr>
          <w:rFonts w:ascii="Times New Roman" w:hAnsi="Times New Roman" w:cs="Times New Roman"/>
          <w:b/>
          <w:i/>
          <w:sz w:val="24"/>
          <w:szCs w:val="24"/>
        </w:rPr>
        <w:t xml:space="preserve">  </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Bảng 2 thể hiện hệ số tương quan giữa các biến sử dụng trong mô hình nghiên cứu. Bảng này cho thấy các biến này có mối tương quan tương đối lỏng (đa số giá trị tuyệt đối của hệ số tương quan nằm trong khoảng từ 0,003 đến 0,74). Bảng cũng thể hiện hai biến DR và IR có hệ số tương quan và hệ số VIF rất lớn chứng tỏ các loại lãi suất trên thị trường tiền tệ có quan hệ rất chặt chẽ với nhau. Để tránh khả năng xảy ra hiện tượng đa cộng tuyến, nghiên cứu sẽ tách riêng hai biến DR và IR để xem xét ở hai mô hình khác nhau.</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Biến sở hữu nước ngoài có tương quan âm với biến rủi ro thanh khoản và biến tỷ lệ vốn trên tổng tài sản. Tuy nhiên, sở hữu nước ngoài lại tương quan dương với các biến rủi ro tín dụng, quy mô ngân hàng, lãi suất huy động và lãi suất liên ngân hàng. Biến rủi ro thanh khoản năm trước có tương quan dương cao với biến rủi ro </w:t>
      </w:r>
      <w:r w:rsidRPr="00114FB8">
        <w:rPr>
          <w:rFonts w:ascii="Times New Roman" w:hAnsi="Times New Roman" w:cs="Times New Roman"/>
          <w:sz w:val="24"/>
          <w:szCs w:val="24"/>
        </w:rPr>
        <w:t>thanh</w:t>
      </w:r>
      <w:r>
        <w:rPr>
          <w:rFonts w:ascii="Times New Roman" w:hAnsi="Times New Roman" w:cs="Times New Roman"/>
          <w:sz w:val="24"/>
          <w:szCs w:val="24"/>
        </w:rPr>
        <w:t xml:space="preserve"> </w:t>
      </w:r>
      <w:r w:rsidRPr="00114FB8">
        <w:rPr>
          <w:rFonts w:ascii="Times New Roman" w:hAnsi="Times New Roman" w:cs="Times New Roman"/>
          <w:sz w:val="24"/>
          <w:szCs w:val="24"/>
        </w:rPr>
        <w:t>khoản</w:t>
      </w:r>
      <w:r>
        <w:rPr>
          <w:rFonts w:ascii="Times New Roman" w:hAnsi="Times New Roman" w:cs="Times New Roman"/>
          <w:sz w:val="24"/>
          <w:szCs w:val="24"/>
        </w:rPr>
        <w:t xml:space="preserve"> năm hiện tại. Các biến đại diện cho lãi suất (DR, IR, và SMR) có tương quan dương với rủi ro thanh khoản. Điều đó chứng tỏ rằng khi lãi suất tăng có thể làm gia tăng rủi ro thanh khoản cho các ngân hàng thương mại.</w:t>
      </w:r>
    </w:p>
    <w:p w:rsidR="00433FFF" w:rsidRDefault="00433FFF" w:rsidP="001E7A86">
      <w:pPr>
        <w:spacing w:before="120" w:after="120" w:line="240" w:lineRule="auto"/>
        <w:rPr>
          <w:rFonts w:ascii="Times New Roman" w:hAnsi="Times New Roman" w:cs="Times New Roman"/>
          <w:sz w:val="24"/>
          <w:szCs w:val="24"/>
        </w:rPr>
      </w:pPr>
    </w:p>
    <w:p w:rsidR="00433FFF" w:rsidRPr="00902706" w:rsidRDefault="00433FFF" w:rsidP="001E7A86">
      <w:pPr>
        <w:tabs>
          <w:tab w:val="left" w:pos="7546"/>
        </w:tabs>
        <w:spacing w:before="120" w:after="120" w:line="240" w:lineRule="auto"/>
        <w:rPr>
          <w:rFonts w:ascii="Times New Roman" w:hAnsi="Times New Roman" w:cs="Times New Roman"/>
          <w:sz w:val="24"/>
          <w:szCs w:val="24"/>
        </w:rPr>
        <w:sectPr w:rsidR="00433FFF" w:rsidRPr="00902706" w:rsidSect="001E7A86">
          <w:headerReference w:type="default" r:id="rId10"/>
          <w:footerReference w:type="default" r:id="rId11"/>
          <w:pgSz w:w="12240" w:h="15840"/>
          <w:pgMar w:top="1440" w:right="1440" w:bottom="1440" w:left="1440" w:header="720" w:footer="720" w:gutter="0"/>
          <w:cols w:space="720"/>
          <w:docGrid w:linePitch="360"/>
        </w:sectPr>
      </w:pPr>
      <w:r>
        <w:rPr>
          <w:rFonts w:ascii="Times New Roman" w:hAnsi="Times New Roman" w:cs="Times New Roman"/>
          <w:sz w:val="24"/>
          <w:szCs w:val="24"/>
        </w:rPr>
        <w:tab/>
      </w:r>
    </w:p>
    <w:p w:rsidR="00433FFF" w:rsidRPr="009264DD" w:rsidRDefault="00433FFF" w:rsidP="001E7A86">
      <w:pPr>
        <w:spacing w:before="120" w:after="120" w:line="360" w:lineRule="auto"/>
        <w:jc w:val="both"/>
        <w:rPr>
          <w:rFonts w:ascii="Times New Roman" w:hAnsi="Times New Roman" w:cs="Times New Roman"/>
          <w:b/>
          <w:i/>
          <w:sz w:val="24"/>
          <w:szCs w:val="24"/>
        </w:rPr>
      </w:pPr>
      <w:r w:rsidRPr="009264DD">
        <w:rPr>
          <w:rFonts w:ascii="Times New Roman" w:hAnsi="Times New Roman" w:cs="Times New Roman"/>
          <w:b/>
          <w:i/>
          <w:sz w:val="24"/>
          <w:szCs w:val="24"/>
        </w:rPr>
        <w:lastRenderedPageBreak/>
        <w:t xml:space="preserve">Bảng 2: </w:t>
      </w:r>
      <w:r>
        <w:rPr>
          <w:rFonts w:ascii="Times New Roman" w:hAnsi="Times New Roman" w:cs="Times New Roman"/>
          <w:b/>
          <w:i/>
          <w:sz w:val="24"/>
          <w:szCs w:val="24"/>
        </w:rPr>
        <w:t>Hệ số t</w:t>
      </w:r>
      <w:r w:rsidRPr="009264DD">
        <w:rPr>
          <w:rFonts w:ascii="Times New Roman" w:hAnsi="Times New Roman" w:cs="Times New Roman"/>
          <w:b/>
          <w:i/>
          <w:sz w:val="24"/>
          <w:szCs w:val="24"/>
        </w:rPr>
        <w:t xml:space="preserve">ương quan </w:t>
      </w:r>
      <w:r>
        <w:rPr>
          <w:rFonts w:ascii="Times New Roman" w:hAnsi="Times New Roman" w:cs="Times New Roman"/>
          <w:b/>
          <w:i/>
          <w:sz w:val="24"/>
          <w:szCs w:val="24"/>
        </w:rPr>
        <w:t xml:space="preserve">giữa </w:t>
      </w:r>
      <w:r w:rsidRPr="009264DD">
        <w:rPr>
          <w:rFonts w:ascii="Times New Roman" w:hAnsi="Times New Roman" w:cs="Times New Roman"/>
          <w:b/>
          <w:i/>
          <w:sz w:val="24"/>
          <w:szCs w:val="24"/>
        </w:rPr>
        <w:t>các biến</w:t>
      </w:r>
    </w:p>
    <w:tbl>
      <w:tblPr>
        <w:tblW w:w="13084" w:type="dxa"/>
        <w:tblInd w:w="108" w:type="dxa"/>
        <w:tblLook w:val="04A0" w:firstRow="1" w:lastRow="0" w:firstColumn="1" w:lastColumn="0" w:noHBand="0" w:noVBand="1"/>
      </w:tblPr>
      <w:tblGrid>
        <w:gridCol w:w="1126"/>
        <w:gridCol w:w="989"/>
        <w:gridCol w:w="988"/>
        <w:gridCol w:w="1539"/>
        <w:gridCol w:w="988"/>
        <w:gridCol w:w="988"/>
        <w:gridCol w:w="988"/>
        <w:gridCol w:w="988"/>
        <w:gridCol w:w="988"/>
        <w:gridCol w:w="908"/>
        <w:gridCol w:w="912"/>
        <w:gridCol w:w="916"/>
        <w:gridCol w:w="821"/>
      </w:tblGrid>
      <w:tr w:rsidR="00433FFF" w:rsidRPr="009264DD" w:rsidTr="001E7A86">
        <w:trPr>
          <w:trHeight w:val="319"/>
        </w:trPr>
        <w:tc>
          <w:tcPr>
            <w:tcW w:w="1126"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color w:val="000000"/>
              </w:rPr>
            </w:pPr>
            <w:r w:rsidRPr="004855DF">
              <w:rPr>
                <w:rFonts w:ascii="Times New Roman" w:eastAsia="Times New Roman" w:hAnsi="Times New Roman" w:cs="Times New Roman"/>
                <w:color w:val="000000"/>
              </w:rPr>
              <w:t> </w:t>
            </w:r>
          </w:p>
        </w:tc>
        <w:tc>
          <w:tcPr>
            <w:tcW w:w="989"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CL</w:t>
            </w:r>
          </w:p>
        </w:tc>
        <w:tc>
          <w:tcPr>
            <w:tcW w:w="988"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FOWN</w:t>
            </w:r>
          </w:p>
        </w:tc>
        <w:tc>
          <w:tcPr>
            <w:tcW w:w="1539"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CL (-1)</w:t>
            </w:r>
          </w:p>
        </w:tc>
        <w:tc>
          <w:tcPr>
            <w:tcW w:w="988"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CR</w:t>
            </w:r>
          </w:p>
        </w:tc>
        <w:tc>
          <w:tcPr>
            <w:tcW w:w="988"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CR (-1)</w:t>
            </w:r>
          </w:p>
        </w:tc>
        <w:tc>
          <w:tcPr>
            <w:tcW w:w="988"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EA</w:t>
            </w:r>
          </w:p>
        </w:tc>
        <w:tc>
          <w:tcPr>
            <w:tcW w:w="988"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SIZE</w:t>
            </w:r>
          </w:p>
        </w:tc>
        <w:tc>
          <w:tcPr>
            <w:tcW w:w="988"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DR</w:t>
            </w:r>
          </w:p>
        </w:tc>
        <w:tc>
          <w:tcPr>
            <w:tcW w:w="908"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IR</w:t>
            </w:r>
          </w:p>
        </w:tc>
        <w:tc>
          <w:tcPr>
            <w:tcW w:w="912"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SMR</w:t>
            </w:r>
          </w:p>
        </w:tc>
        <w:tc>
          <w:tcPr>
            <w:tcW w:w="916" w:type="dxa"/>
            <w:tcBorders>
              <w:top w:val="single" w:sz="4" w:space="0" w:color="auto"/>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GDPg</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VIF</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CL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FOWN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-0,0988</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1,11</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CL (-1)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0,7466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-0,1095</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1,08</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CR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-0,0821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0,0433</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-0,0834</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1,02</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CR (-1)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-0,0627</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0,0431</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-0,0810</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-0,0036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1,05</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EA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0,0300</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-0,1699</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-0,0203</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0,0156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0,0286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1,41</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SIZE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0,1415</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0,2561</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0,1236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-0,0668</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-0,0924</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-0,5104</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1,61</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DR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0,1441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0,0575</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0,0302</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0,0254</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-0,1778</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-0,1107</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0,1606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13</w:t>
            </w:r>
            <w:r>
              <w:rPr>
                <w:rFonts w:ascii="Times New Roman" w:eastAsia="Times New Roman" w:hAnsi="Times New Roman" w:cs="Times New Roman"/>
                <w:b/>
                <w:color w:val="000000"/>
              </w:rPr>
              <w:t>.</w:t>
            </w:r>
            <w:r w:rsidRPr="004855DF">
              <w:rPr>
                <w:rFonts w:ascii="Times New Roman" w:eastAsia="Times New Roman" w:hAnsi="Times New Roman" w:cs="Times New Roman"/>
                <w:b/>
                <w:color w:val="000000"/>
              </w:rPr>
              <w:t>131</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IR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0,1446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0,0572</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0,0309</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0,0260</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-0,1777</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-0,1111</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0,1584</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0,9999</w:t>
            </w: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13</w:t>
            </w:r>
            <w:r>
              <w:rPr>
                <w:rFonts w:ascii="Times New Roman" w:eastAsia="Times New Roman" w:hAnsi="Times New Roman" w:cs="Times New Roman"/>
                <w:b/>
                <w:color w:val="000000"/>
              </w:rPr>
              <w:t>.</w:t>
            </w:r>
            <w:r w:rsidRPr="004855DF">
              <w:rPr>
                <w:rFonts w:ascii="Times New Roman" w:eastAsia="Times New Roman" w:hAnsi="Times New Roman" w:cs="Times New Roman"/>
                <w:b/>
                <w:color w:val="000000"/>
              </w:rPr>
              <w:t>184</w:t>
            </w:r>
          </w:p>
        </w:tc>
      </w:tr>
      <w:tr w:rsidR="00433FFF" w:rsidRPr="009264DD" w:rsidTr="001E7A86">
        <w:trPr>
          <w:trHeight w:val="319"/>
        </w:trPr>
        <w:tc>
          <w:tcPr>
            <w:tcW w:w="112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 xml:space="preserve">SMR </w:t>
            </w:r>
          </w:p>
        </w:tc>
        <w:tc>
          <w:tcPr>
            <w:tcW w:w="98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0,0092</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-0,0182</w:t>
            </w:r>
          </w:p>
        </w:tc>
        <w:tc>
          <w:tcPr>
            <w:tcW w:w="1539"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-0,0949</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0,0069</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0,0486</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0,0444</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-0,0685</w:t>
            </w:r>
          </w:p>
        </w:tc>
        <w:tc>
          <w:tcPr>
            <w:tcW w:w="98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-0,2581</w:t>
            </w:r>
          </w:p>
        </w:tc>
        <w:tc>
          <w:tcPr>
            <w:tcW w:w="908"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-0,2535</w:t>
            </w:r>
          </w:p>
        </w:tc>
        <w:tc>
          <w:tcPr>
            <w:tcW w:w="912"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916" w:type="dxa"/>
            <w:tcBorders>
              <w:top w:val="nil"/>
              <w:left w:val="nil"/>
              <w:bottom w:val="dotted"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p>
        </w:tc>
        <w:tc>
          <w:tcPr>
            <w:tcW w:w="766" w:type="dxa"/>
            <w:tcBorders>
              <w:top w:val="nil"/>
              <w:left w:val="single" w:sz="4" w:space="0" w:color="auto"/>
              <w:bottom w:val="dotted"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2,07</w:t>
            </w:r>
          </w:p>
        </w:tc>
      </w:tr>
      <w:tr w:rsidR="00433FFF" w:rsidRPr="009264DD" w:rsidTr="001E7A86">
        <w:trPr>
          <w:trHeight w:val="319"/>
        </w:trPr>
        <w:tc>
          <w:tcPr>
            <w:tcW w:w="1126"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GDPg</w:t>
            </w:r>
          </w:p>
        </w:tc>
        <w:tc>
          <w:tcPr>
            <w:tcW w:w="989"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-0,0502</w:t>
            </w:r>
          </w:p>
        </w:tc>
        <w:tc>
          <w:tcPr>
            <w:tcW w:w="988"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0,0185</w:t>
            </w:r>
          </w:p>
        </w:tc>
        <w:tc>
          <w:tcPr>
            <w:tcW w:w="1539"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0,0503</w:t>
            </w:r>
          </w:p>
        </w:tc>
        <w:tc>
          <w:tcPr>
            <w:tcW w:w="988"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0,0481</w:t>
            </w:r>
          </w:p>
        </w:tc>
        <w:tc>
          <w:tcPr>
            <w:tcW w:w="988"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-0,1077</w:t>
            </w:r>
          </w:p>
        </w:tc>
        <w:tc>
          <w:tcPr>
            <w:tcW w:w="988"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-0,1174</w:t>
            </w:r>
          </w:p>
        </w:tc>
        <w:tc>
          <w:tcPr>
            <w:tcW w:w="988"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0,0681</w:t>
            </w:r>
          </w:p>
        </w:tc>
        <w:tc>
          <w:tcPr>
            <w:tcW w:w="988"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0,6092</w:t>
            </w:r>
          </w:p>
        </w:tc>
        <w:tc>
          <w:tcPr>
            <w:tcW w:w="908"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0,6112</w:t>
            </w:r>
          </w:p>
        </w:tc>
        <w:tc>
          <w:tcPr>
            <w:tcW w:w="912"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-0,4900</w:t>
            </w:r>
          </w:p>
        </w:tc>
        <w:tc>
          <w:tcPr>
            <w:tcW w:w="916" w:type="dxa"/>
            <w:tcBorders>
              <w:top w:val="nil"/>
              <w:left w:val="nil"/>
              <w:bottom w:val="single" w:sz="4" w:space="0" w:color="auto"/>
              <w:right w:val="nil"/>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color w:val="000000"/>
              </w:rPr>
            </w:pPr>
            <w:r w:rsidRPr="004855DF">
              <w:rPr>
                <w:rFonts w:ascii="Times New Roman" w:eastAsia="Times New Roman" w:hAnsi="Times New Roman" w:cs="Times New Roman"/>
                <w:color w:val="000000"/>
              </w:rPr>
              <w:t>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433FFF" w:rsidRPr="004855DF" w:rsidRDefault="00433FFF" w:rsidP="001E7A86">
            <w:pPr>
              <w:spacing w:after="0" w:line="240" w:lineRule="auto"/>
              <w:jc w:val="center"/>
              <w:rPr>
                <w:rFonts w:ascii="Times New Roman" w:eastAsia="Times New Roman" w:hAnsi="Times New Roman" w:cs="Times New Roman"/>
                <w:b/>
                <w:color w:val="000000"/>
              </w:rPr>
            </w:pPr>
            <w:r w:rsidRPr="004855DF">
              <w:rPr>
                <w:rFonts w:ascii="Times New Roman" w:eastAsia="Times New Roman" w:hAnsi="Times New Roman" w:cs="Times New Roman"/>
                <w:b/>
                <w:color w:val="000000"/>
              </w:rPr>
              <w:t>2,60</w:t>
            </w:r>
          </w:p>
        </w:tc>
      </w:tr>
    </w:tbl>
    <w:p w:rsidR="00433FFF" w:rsidRDefault="00433FFF" w:rsidP="001E7A86">
      <w:pPr>
        <w:spacing w:before="120"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Nguồn: Tổng hợp của </w:t>
      </w:r>
      <w:r w:rsidR="009F2E72">
        <w:rPr>
          <w:rFonts w:ascii="Times New Roman" w:hAnsi="Times New Roman" w:cs="Times New Roman"/>
          <w:sz w:val="24"/>
          <w:szCs w:val="24"/>
        </w:rPr>
        <w:t xml:space="preserve">nhóm </w:t>
      </w:r>
      <w:r>
        <w:rPr>
          <w:rFonts w:ascii="Times New Roman" w:hAnsi="Times New Roman" w:cs="Times New Roman"/>
          <w:sz w:val="24"/>
          <w:szCs w:val="24"/>
        </w:rPr>
        <w:t>tác giả</w:t>
      </w:r>
    </w:p>
    <w:p w:rsidR="00433FFF" w:rsidRDefault="00433FFF">
      <w:pPr>
        <w:rPr>
          <w:rFonts w:ascii="Times New Roman" w:hAnsi="Times New Roman" w:cs="Times New Roman"/>
          <w:sz w:val="24"/>
          <w:szCs w:val="24"/>
        </w:rPr>
      </w:pPr>
    </w:p>
    <w:p w:rsidR="00433FFF" w:rsidRPr="000051BD" w:rsidRDefault="00433FFF" w:rsidP="001E7A86">
      <w:pPr>
        <w:rPr>
          <w:rFonts w:ascii="Times New Roman" w:hAnsi="Times New Roman" w:cs="Times New Roman"/>
          <w:sz w:val="24"/>
          <w:szCs w:val="24"/>
        </w:rPr>
        <w:sectPr w:rsidR="00433FFF" w:rsidRPr="000051BD" w:rsidSect="001E7A86">
          <w:pgSz w:w="15840" w:h="12240" w:orient="landscape" w:code="1"/>
          <w:pgMar w:top="1627" w:right="1355" w:bottom="1559" w:left="1440" w:header="720" w:footer="720" w:gutter="0"/>
          <w:cols w:space="720"/>
          <w:docGrid w:linePitch="360"/>
        </w:sectPr>
      </w:pPr>
      <w:r>
        <w:rPr>
          <w:rFonts w:ascii="Times New Roman" w:hAnsi="Times New Roman" w:cs="Times New Roman"/>
          <w:sz w:val="24"/>
          <w:szCs w:val="24"/>
        </w:rPr>
        <w:t xml:space="preserve"> </w:t>
      </w:r>
    </w:p>
    <w:p w:rsidR="00433FFF" w:rsidRDefault="00433FFF" w:rsidP="001E7A86">
      <w:pPr>
        <w:spacing w:before="120" w:after="12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4.3. </w:t>
      </w:r>
      <w:r w:rsidRPr="009264DD">
        <w:rPr>
          <w:rFonts w:ascii="Times New Roman" w:hAnsi="Times New Roman" w:cs="Times New Roman"/>
          <w:b/>
          <w:i/>
          <w:sz w:val="24"/>
          <w:szCs w:val="24"/>
        </w:rPr>
        <w:t>Thảo luận kết quả</w:t>
      </w:r>
    </w:p>
    <w:p w:rsidR="00433FFF" w:rsidRPr="001F6640" w:rsidRDefault="00433FFF" w:rsidP="001E7A86">
      <w:pPr>
        <w:spacing w:before="120" w:after="12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1F6640">
        <w:rPr>
          <w:rFonts w:ascii="Times New Roman" w:hAnsi="Times New Roman" w:cs="Times New Roman"/>
          <w:sz w:val="24"/>
          <w:szCs w:val="24"/>
        </w:rPr>
        <w:t>Bả</w:t>
      </w:r>
      <w:r>
        <w:rPr>
          <w:rFonts w:ascii="Times New Roman" w:hAnsi="Times New Roman" w:cs="Times New Roman"/>
          <w:sz w:val="24"/>
          <w:szCs w:val="24"/>
        </w:rPr>
        <w:t xml:space="preserve">ng 3 </w:t>
      </w:r>
      <w:r w:rsidRPr="001F6640">
        <w:rPr>
          <w:rFonts w:ascii="Times New Roman" w:hAnsi="Times New Roman" w:cs="Times New Roman"/>
          <w:sz w:val="24"/>
          <w:szCs w:val="24"/>
        </w:rPr>
        <w:t>thể hiện kết quả hồi quy sử dụng ước lượng FEM và REM cho toàn bộ mẫu nghiên cứu.</w:t>
      </w:r>
      <w:r w:rsidRPr="001F6640">
        <w:rPr>
          <w:rFonts w:ascii="Times New Roman" w:hAnsi="Times New Roman" w:cs="Times New Roman"/>
          <w:b/>
          <w:sz w:val="24"/>
          <w:szCs w:val="24"/>
        </w:rPr>
        <w:t xml:space="preserve"> </w:t>
      </w:r>
      <w:r w:rsidRPr="001F6640">
        <w:rPr>
          <w:rFonts w:ascii="Times New Roman" w:hAnsi="Times New Roman" w:cs="Times New Roman"/>
          <w:sz w:val="24"/>
          <w:szCs w:val="24"/>
        </w:rPr>
        <w:t>K</w:t>
      </w:r>
      <w:r>
        <w:rPr>
          <w:rFonts w:ascii="Times New Roman" w:hAnsi="Times New Roman" w:cs="Times New Roman"/>
          <w:sz w:val="24"/>
          <w:szCs w:val="24"/>
        </w:rPr>
        <w:t>ết quả k</w:t>
      </w:r>
      <w:r w:rsidRPr="001F6640">
        <w:rPr>
          <w:rFonts w:ascii="Times New Roman" w:hAnsi="Times New Roman" w:cs="Times New Roman"/>
          <w:sz w:val="24"/>
          <w:szCs w:val="24"/>
        </w:rPr>
        <w:t xml:space="preserve">iểm định </w:t>
      </w:r>
      <w:r>
        <w:rPr>
          <w:rFonts w:ascii="Times New Roman" w:hAnsi="Times New Roman" w:cs="Times New Roman"/>
          <w:sz w:val="24"/>
          <w:szCs w:val="24"/>
        </w:rPr>
        <w:t>Hausma</w:t>
      </w:r>
      <w:r w:rsidRPr="001F6640">
        <w:rPr>
          <w:rFonts w:ascii="Times New Roman" w:hAnsi="Times New Roman" w:cs="Times New Roman"/>
          <w:sz w:val="24"/>
          <w:szCs w:val="24"/>
        </w:rPr>
        <w:t>n cho thấy ước lượng FEM là phù hợp nhất. Vì vậy, bài báo sẽ sử dụng kết quả từ ước lượng FEM để thực hiện phân tích và thảo luận</w:t>
      </w:r>
      <w:r>
        <w:rPr>
          <w:rFonts w:ascii="Times New Roman" w:hAnsi="Times New Roman" w:cs="Times New Roman"/>
          <w:sz w:val="24"/>
          <w:szCs w:val="24"/>
        </w:rPr>
        <w:t>.</w:t>
      </w:r>
    </w:p>
    <w:p w:rsidR="00433FFF" w:rsidRPr="009264DD" w:rsidRDefault="00433FFF" w:rsidP="001E7A86">
      <w:pPr>
        <w:spacing w:before="120" w:after="120" w:line="360" w:lineRule="auto"/>
        <w:jc w:val="both"/>
        <w:rPr>
          <w:rFonts w:ascii="Times New Roman" w:hAnsi="Times New Roman" w:cs="Times New Roman"/>
          <w:b/>
          <w:i/>
          <w:sz w:val="24"/>
          <w:szCs w:val="24"/>
        </w:rPr>
      </w:pPr>
      <w:r w:rsidRPr="009264DD">
        <w:rPr>
          <w:rFonts w:ascii="Times New Roman" w:hAnsi="Times New Roman" w:cs="Times New Roman"/>
          <w:b/>
          <w:i/>
          <w:sz w:val="24"/>
          <w:szCs w:val="24"/>
        </w:rPr>
        <w:t xml:space="preserve">Bảng </w:t>
      </w:r>
      <w:r>
        <w:rPr>
          <w:rFonts w:ascii="Times New Roman" w:hAnsi="Times New Roman" w:cs="Times New Roman"/>
          <w:b/>
          <w:i/>
          <w:sz w:val="24"/>
          <w:szCs w:val="24"/>
        </w:rPr>
        <w:t>3</w:t>
      </w:r>
      <w:r w:rsidRPr="009264DD">
        <w:rPr>
          <w:rFonts w:ascii="Times New Roman" w:hAnsi="Times New Roman" w:cs="Times New Roman"/>
          <w:b/>
          <w:i/>
          <w:sz w:val="24"/>
          <w:szCs w:val="24"/>
        </w:rPr>
        <w:t>: Kết quả hồ</w:t>
      </w:r>
      <w:r>
        <w:rPr>
          <w:rFonts w:ascii="Times New Roman" w:hAnsi="Times New Roman" w:cs="Times New Roman"/>
          <w:b/>
          <w:i/>
          <w:sz w:val="24"/>
          <w:szCs w:val="24"/>
        </w:rPr>
        <w:t>i quy</w:t>
      </w:r>
    </w:p>
    <w:tbl>
      <w:tblPr>
        <w:tblW w:w="8980" w:type="dxa"/>
        <w:tblInd w:w="108" w:type="dxa"/>
        <w:tblLook w:val="04A0" w:firstRow="1" w:lastRow="0" w:firstColumn="1" w:lastColumn="0" w:noHBand="0" w:noVBand="1"/>
      </w:tblPr>
      <w:tblGrid>
        <w:gridCol w:w="2996"/>
        <w:gridCol w:w="1436"/>
        <w:gridCol w:w="1436"/>
        <w:gridCol w:w="276"/>
        <w:gridCol w:w="1436"/>
        <w:gridCol w:w="1436"/>
      </w:tblGrid>
      <w:tr w:rsidR="00433FFF" w:rsidRPr="000D28AC" w:rsidTr="001E7A86">
        <w:trPr>
          <w:trHeight w:val="315"/>
        </w:trPr>
        <w:tc>
          <w:tcPr>
            <w:tcW w:w="2996" w:type="dxa"/>
            <w:vMerge w:val="restart"/>
            <w:tcBorders>
              <w:top w:val="single" w:sz="4" w:space="0" w:color="auto"/>
              <w:left w:val="nil"/>
              <w:bottom w:val="single" w:sz="4" w:space="0" w:color="000000"/>
              <w:right w:val="nil"/>
            </w:tcBorders>
            <w:shd w:val="clear" w:color="auto" w:fill="auto"/>
            <w:noWrap/>
            <w:vAlign w:val="center"/>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Biến phụ thuộc: LQ</w:t>
            </w:r>
          </w:p>
        </w:tc>
        <w:tc>
          <w:tcPr>
            <w:tcW w:w="2872" w:type="dxa"/>
            <w:gridSpan w:val="2"/>
            <w:tcBorders>
              <w:top w:val="single" w:sz="4" w:space="0" w:color="auto"/>
              <w:left w:val="nil"/>
              <w:bottom w:val="single" w:sz="4" w:space="0" w:color="auto"/>
              <w:right w:val="nil"/>
            </w:tcBorders>
            <w:shd w:val="clear" w:color="auto" w:fill="auto"/>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MH1</w:t>
            </w:r>
          </w:p>
        </w:tc>
        <w:tc>
          <w:tcPr>
            <w:tcW w:w="240" w:type="dxa"/>
            <w:tcBorders>
              <w:top w:val="single" w:sz="4" w:space="0" w:color="auto"/>
              <w:left w:val="nil"/>
              <w:bottom w:val="nil"/>
              <w:right w:val="nil"/>
            </w:tcBorders>
            <w:shd w:val="clear" w:color="auto" w:fill="auto"/>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 </w:t>
            </w:r>
          </w:p>
        </w:tc>
        <w:tc>
          <w:tcPr>
            <w:tcW w:w="2872" w:type="dxa"/>
            <w:gridSpan w:val="2"/>
            <w:tcBorders>
              <w:top w:val="single" w:sz="4" w:space="0" w:color="auto"/>
              <w:left w:val="nil"/>
              <w:bottom w:val="single" w:sz="4" w:space="0" w:color="auto"/>
              <w:right w:val="nil"/>
            </w:tcBorders>
            <w:shd w:val="clear" w:color="auto" w:fill="auto"/>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MH2</w:t>
            </w:r>
          </w:p>
        </w:tc>
      </w:tr>
      <w:tr w:rsidR="00433FFF" w:rsidRPr="000D28AC" w:rsidTr="001E7A86">
        <w:trPr>
          <w:trHeight w:val="360"/>
        </w:trPr>
        <w:tc>
          <w:tcPr>
            <w:tcW w:w="2996" w:type="dxa"/>
            <w:vMerge/>
            <w:tcBorders>
              <w:top w:val="single" w:sz="4" w:space="0" w:color="auto"/>
              <w:left w:val="nil"/>
              <w:bottom w:val="single" w:sz="4" w:space="0" w:color="000000"/>
              <w:right w:val="nil"/>
            </w:tcBorders>
            <w:vAlign w:val="center"/>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FEM</w:t>
            </w: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REM</w:t>
            </w:r>
          </w:p>
        </w:tc>
        <w:tc>
          <w:tcPr>
            <w:tcW w:w="240"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 </w:t>
            </w: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FEM</w:t>
            </w: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REM</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FOWN</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1383</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0584</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1374</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0587</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58413A" w:rsidP="001E7A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CL_1</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3424</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7024</w:t>
            </w:r>
            <w:r>
              <w:rPr>
                <w:rFonts w:ascii="Times New Roman" w:eastAsia="Times New Roman" w:hAnsi="Times New Roman" w:cs="Times New Roman"/>
                <w:color w:val="000000"/>
                <w:sz w:val="24"/>
                <w:szCs w:val="24"/>
                <w:vertAlign w:val="superscript"/>
              </w:rPr>
              <w:t>***</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3412</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7020</w:t>
            </w:r>
            <w:r>
              <w:rPr>
                <w:rFonts w:ascii="Times New Roman" w:eastAsia="Times New Roman" w:hAnsi="Times New Roman" w:cs="Times New Roman"/>
                <w:color w:val="000000"/>
                <w:sz w:val="24"/>
                <w:szCs w:val="24"/>
                <w:vertAlign w:val="superscript"/>
              </w:rPr>
              <w:t>***</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CR</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0046</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0053</w:t>
            </w:r>
            <w:r>
              <w:rPr>
                <w:rFonts w:ascii="Times New Roman" w:eastAsia="Times New Roman" w:hAnsi="Times New Roman" w:cs="Times New Roman"/>
                <w:color w:val="000000"/>
                <w:sz w:val="24"/>
                <w:szCs w:val="24"/>
                <w:vertAlign w:val="superscript"/>
              </w:rPr>
              <w:t>**</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0046</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0053</w:t>
            </w:r>
            <w:r>
              <w:rPr>
                <w:rFonts w:ascii="Times New Roman" w:eastAsia="Times New Roman" w:hAnsi="Times New Roman" w:cs="Times New Roman"/>
                <w:color w:val="000000"/>
                <w:sz w:val="24"/>
                <w:szCs w:val="24"/>
                <w:vertAlign w:val="superscript"/>
              </w:rPr>
              <w:t>**</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58413A" w:rsidP="001E7A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CR_1</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0162</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0125</w:t>
            </w:r>
            <w:r>
              <w:rPr>
                <w:rFonts w:ascii="Times New Roman" w:eastAsia="Times New Roman" w:hAnsi="Times New Roman" w:cs="Times New Roman"/>
                <w:color w:val="000000"/>
                <w:sz w:val="24"/>
                <w:szCs w:val="24"/>
                <w:vertAlign w:val="superscript"/>
              </w:rPr>
              <w:t>***</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0162</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0126</w:t>
            </w:r>
            <w:r>
              <w:rPr>
                <w:rFonts w:ascii="Times New Roman" w:eastAsia="Times New Roman" w:hAnsi="Times New Roman" w:cs="Times New Roman"/>
                <w:color w:val="000000"/>
                <w:sz w:val="24"/>
                <w:szCs w:val="24"/>
                <w:vertAlign w:val="superscript"/>
              </w:rPr>
              <w:t>***</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EA</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1351</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1188</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1355</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1194</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SIZE</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0748</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0206</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0726</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0208</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DR</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0190</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0162</w:t>
            </w:r>
            <w:r>
              <w:rPr>
                <w:rFonts w:ascii="Times New Roman" w:eastAsia="Times New Roman" w:hAnsi="Times New Roman" w:cs="Times New Roman"/>
                <w:color w:val="000000"/>
                <w:sz w:val="24"/>
                <w:szCs w:val="24"/>
                <w:vertAlign w:val="superscript"/>
              </w:rPr>
              <w:t>***</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IR</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0318</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0273</w:t>
            </w:r>
            <w:r>
              <w:rPr>
                <w:rFonts w:ascii="Times New Roman" w:eastAsia="Times New Roman" w:hAnsi="Times New Roman" w:cs="Times New Roman"/>
                <w:color w:val="000000"/>
                <w:sz w:val="24"/>
                <w:szCs w:val="24"/>
                <w:vertAlign w:val="superscript"/>
              </w:rPr>
              <w:t>***</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SMR</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0026</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0068</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0030</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0065</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GDPG</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1588</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6661</w:t>
            </w:r>
            <w:r>
              <w:rPr>
                <w:rFonts w:ascii="Times New Roman" w:eastAsia="Times New Roman" w:hAnsi="Times New Roman" w:cs="Times New Roman"/>
                <w:color w:val="000000"/>
                <w:sz w:val="24"/>
                <w:szCs w:val="24"/>
                <w:vertAlign w:val="superscript"/>
              </w:rPr>
              <w:t>***</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1896</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7248</w:t>
            </w:r>
            <w:r>
              <w:rPr>
                <w:rFonts w:ascii="Times New Roman" w:eastAsia="Times New Roman" w:hAnsi="Times New Roman" w:cs="Times New Roman"/>
                <w:color w:val="000000"/>
                <w:sz w:val="24"/>
                <w:szCs w:val="24"/>
                <w:vertAlign w:val="superscript"/>
              </w:rPr>
              <w:t>***</w:t>
            </w:r>
          </w:p>
        </w:tc>
      </w:tr>
      <w:tr w:rsidR="00433FFF" w:rsidRPr="000D28AC" w:rsidTr="001E7A86">
        <w:trPr>
          <w:trHeight w:val="360"/>
        </w:trPr>
        <w:tc>
          <w:tcPr>
            <w:tcW w:w="2996" w:type="dxa"/>
            <w:tcBorders>
              <w:top w:val="nil"/>
              <w:left w:val="nil"/>
              <w:bottom w:val="nil"/>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b/>
                <w:bCs/>
                <w:color w:val="000000"/>
                <w:sz w:val="24"/>
                <w:szCs w:val="24"/>
              </w:rPr>
            </w:pPr>
            <w:r w:rsidRPr="000D28AC">
              <w:rPr>
                <w:rFonts w:ascii="Times New Roman" w:eastAsia="Times New Roman" w:hAnsi="Times New Roman" w:cs="Times New Roman"/>
                <w:b/>
                <w:bCs/>
                <w:color w:val="000000"/>
                <w:sz w:val="24"/>
                <w:szCs w:val="24"/>
              </w:rPr>
              <w:t>C</w:t>
            </w:r>
          </w:p>
        </w:tc>
        <w:tc>
          <w:tcPr>
            <w:tcW w:w="1436" w:type="dxa"/>
            <w:tcBorders>
              <w:top w:val="nil"/>
              <w:left w:val="nil"/>
              <w:bottom w:val="nil"/>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9716</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nil"/>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3516</w:t>
            </w:r>
            <w:r>
              <w:rPr>
                <w:rFonts w:ascii="Times New Roman" w:eastAsia="Times New Roman" w:hAnsi="Times New Roman" w:cs="Times New Roman"/>
                <w:color w:val="000000"/>
                <w:sz w:val="24"/>
                <w:szCs w:val="24"/>
                <w:vertAlign w:val="superscript"/>
              </w:rPr>
              <w:t>***</w:t>
            </w:r>
          </w:p>
        </w:tc>
        <w:tc>
          <w:tcPr>
            <w:tcW w:w="240" w:type="dxa"/>
            <w:tcBorders>
              <w:top w:val="nil"/>
              <w:left w:val="nil"/>
              <w:bottom w:val="nil"/>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nil"/>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9646</w:t>
            </w:r>
            <w:r>
              <w:rPr>
                <w:rFonts w:ascii="Times New Roman" w:eastAsia="Times New Roman" w:hAnsi="Times New Roman" w:cs="Times New Roman"/>
                <w:color w:val="000000"/>
                <w:sz w:val="24"/>
                <w:szCs w:val="24"/>
                <w:vertAlign w:val="superscript"/>
              </w:rPr>
              <w:t>***</w:t>
            </w:r>
          </w:p>
        </w:tc>
        <w:tc>
          <w:tcPr>
            <w:tcW w:w="1436" w:type="dxa"/>
            <w:tcBorders>
              <w:top w:val="nil"/>
              <w:left w:val="nil"/>
              <w:bottom w:val="nil"/>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vertAlign w:val="superscript"/>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3550</w:t>
            </w:r>
            <w:r>
              <w:rPr>
                <w:rFonts w:ascii="Times New Roman" w:eastAsia="Times New Roman" w:hAnsi="Times New Roman" w:cs="Times New Roman"/>
                <w:color w:val="000000"/>
                <w:sz w:val="24"/>
                <w:szCs w:val="24"/>
                <w:vertAlign w:val="superscript"/>
              </w:rPr>
              <w:t>***</w:t>
            </w:r>
          </w:p>
        </w:tc>
      </w:tr>
      <w:tr w:rsidR="00433FFF" w:rsidRPr="000D28AC" w:rsidTr="001E7A86">
        <w:trPr>
          <w:trHeight w:val="360"/>
        </w:trPr>
        <w:tc>
          <w:tcPr>
            <w:tcW w:w="2996" w:type="dxa"/>
            <w:tcBorders>
              <w:top w:val="single" w:sz="4" w:space="0" w:color="auto"/>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Observations</w:t>
            </w:r>
          </w:p>
        </w:tc>
        <w:tc>
          <w:tcPr>
            <w:tcW w:w="1436" w:type="dxa"/>
            <w:tcBorders>
              <w:top w:val="single" w:sz="4" w:space="0" w:color="auto"/>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229</w:t>
            </w:r>
          </w:p>
        </w:tc>
        <w:tc>
          <w:tcPr>
            <w:tcW w:w="1436" w:type="dxa"/>
            <w:tcBorders>
              <w:top w:val="single" w:sz="4" w:space="0" w:color="auto"/>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229</w:t>
            </w:r>
          </w:p>
        </w:tc>
        <w:tc>
          <w:tcPr>
            <w:tcW w:w="240" w:type="dxa"/>
            <w:tcBorders>
              <w:top w:val="single" w:sz="4" w:space="0" w:color="auto"/>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single" w:sz="4" w:space="0" w:color="auto"/>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229</w:t>
            </w:r>
          </w:p>
        </w:tc>
        <w:tc>
          <w:tcPr>
            <w:tcW w:w="1436" w:type="dxa"/>
            <w:tcBorders>
              <w:top w:val="single" w:sz="4" w:space="0" w:color="auto"/>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229</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R-squared</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8748</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6217</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8744</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6220</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Adjusted R-squared</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8457</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6061</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8453</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6064</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S.E. of regression</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0702</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0877</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0703</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0877</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F-statistic</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0676</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9875</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9632</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0321</w:t>
            </w:r>
          </w:p>
        </w:tc>
      </w:tr>
      <w:tr w:rsidR="00433FFF" w:rsidRPr="000D28AC" w:rsidTr="001E7A86">
        <w:trPr>
          <w:trHeight w:val="360"/>
        </w:trPr>
        <w:tc>
          <w:tcPr>
            <w:tcW w:w="299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Prob(F-statistic)</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0000</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0000</w:t>
            </w:r>
          </w:p>
        </w:tc>
        <w:tc>
          <w:tcPr>
            <w:tcW w:w="240"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0000</w:t>
            </w:r>
          </w:p>
        </w:tc>
        <w:tc>
          <w:tcPr>
            <w:tcW w:w="1436" w:type="dxa"/>
            <w:tcBorders>
              <w:top w:val="nil"/>
              <w:left w:val="nil"/>
              <w:bottom w:val="dotted"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0000</w:t>
            </w:r>
          </w:p>
        </w:tc>
      </w:tr>
      <w:tr w:rsidR="00433FFF" w:rsidRPr="000D28AC" w:rsidTr="001E7A86">
        <w:trPr>
          <w:trHeight w:val="360"/>
        </w:trPr>
        <w:tc>
          <w:tcPr>
            <w:tcW w:w="299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Durbin-Watson stat</w:t>
            </w: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7753</w:t>
            </w: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0734</w:t>
            </w:r>
          </w:p>
        </w:tc>
        <w:tc>
          <w:tcPr>
            <w:tcW w:w="240"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7737</w:t>
            </w:r>
          </w:p>
        </w:tc>
        <w:tc>
          <w:tcPr>
            <w:tcW w:w="1436" w:type="dxa"/>
            <w:tcBorders>
              <w:top w:val="nil"/>
              <w:left w:val="nil"/>
              <w:bottom w:val="single" w:sz="4" w:space="0" w:color="auto"/>
              <w:right w:val="nil"/>
            </w:tcBorders>
            <w:shd w:val="clear" w:color="auto" w:fill="auto"/>
            <w:noWrap/>
            <w:vAlign w:val="bottom"/>
            <w:hideMark/>
          </w:tcPr>
          <w:p w:rsidR="00433FFF" w:rsidRPr="000D28AC" w:rsidRDefault="00433FFF" w:rsidP="001E7A86">
            <w:pPr>
              <w:spacing w:after="0" w:line="240" w:lineRule="auto"/>
              <w:jc w:val="center"/>
              <w:rPr>
                <w:rFonts w:ascii="Times New Roman" w:eastAsia="Times New Roman" w:hAnsi="Times New Roman" w:cs="Times New Roman"/>
                <w:color w:val="000000"/>
                <w:sz w:val="24"/>
                <w:szCs w:val="24"/>
              </w:rPr>
            </w:pPr>
            <w:r w:rsidRPr="000D28A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0D28AC">
              <w:rPr>
                <w:rFonts w:ascii="Times New Roman" w:eastAsia="Times New Roman" w:hAnsi="Times New Roman" w:cs="Times New Roman"/>
                <w:color w:val="000000"/>
                <w:sz w:val="24"/>
                <w:szCs w:val="24"/>
              </w:rPr>
              <w:t>0734</w:t>
            </w:r>
          </w:p>
        </w:tc>
      </w:tr>
    </w:tbl>
    <w:p w:rsidR="00433FFF" w:rsidRPr="009F46FB" w:rsidRDefault="00433FFF" w:rsidP="009F2E72">
      <w:pPr>
        <w:spacing w:before="120" w:after="120" w:line="360" w:lineRule="auto"/>
        <w:jc w:val="right"/>
        <w:rPr>
          <w:rFonts w:ascii="Times New Roman" w:hAnsi="Times New Roman" w:cs="Times New Roman"/>
          <w:b/>
          <w:i/>
          <w:sz w:val="20"/>
          <w:szCs w:val="24"/>
        </w:rPr>
      </w:pPr>
      <w:r w:rsidRPr="009F46FB">
        <w:rPr>
          <w:rFonts w:ascii="Times New Roman" w:hAnsi="Times New Roman" w:cs="Times New Roman"/>
          <w:sz w:val="20"/>
          <w:szCs w:val="24"/>
        </w:rPr>
        <w:t xml:space="preserve">Ghi chú: (*), (**), và (***) tương ứng với mức ý nghĩa 10%, 5% và 1%. Nguồn: Tổng hợp của </w:t>
      </w:r>
      <w:r w:rsidR="009F2E72">
        <w:rPr>
          <w:rFonts w:ascii="Times New Roman" w:hAnsi="Times New Roman" w:cs="Times New Roman"/>
          <w:sz w:val="20"/>
          <w:szCs w:val="24"/>
        </w:rPr>
        <w:t xml:space="preserve">nhóm </w:t>
      </w:r>
      <w:r w:rsidRPr="009F46FB">
        <w:rPr>
          <w:rFonts w:ascii="Times New Roman" w:hAnsi="Times New Roman" w:cs="Times New Roman"/>
          <w:sz w:val="20"/>
          <w:szCs w:val="24"/>
        </w:rPr>
        <w:t xml:space="preserve">tác giả. </w:t>
      </w:r>
    </w:p>
    <w:p w:rsidR="00433FFF"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sz w:val="24"/>
          <w:szCs w:val="24"/>
        </w:rPr>
        <w:t xml:space="preserve">Kết quả </w:t>
      </w:r>
      <w:r>
        <w:rPr>
          <w:rFonts w:ascii="Times New Roman" w:hAnsi="Times New Roman" w:cs="Times New Roman"/>
          <w:sz w:val="24"/>
          <w:szCs w:val="24"/>
        </w:rPr>
        <w:t xml:space="preserve">hồi </w:t>
      </w:r>
      <w:r w:rsidRPr="00117B2D">
        <w:rPr>
          <w:rFonts w:ascii="Times New Roman" w:hAnsi="Times New Roman" w:cs="Times New Roman"/>
          <w:sz w:val="24"/>
          <w:szCs w:val="24"/>
        </w:rPr>
        <w:t xml:space="preserve">quy </w:t>
      </w:r>
      <w:r>
        <w:rPr>
          <w:rFonts w:ascii="Times New Roman" w:hAnsi="Times New Roman" w:cs="Times New Roman"/>
          <w:sz w:val="24"/>
          <w:szCs w:val="24"/>
        </w:rPr>
        <w:t xml:space="preserve">ở bảng 3 </w:t>
      </w:r>
      <w:r w:rsidRPr="009264DD">
        <w:rPr>
          <w:rFonts w:ascii="Times New Roman" w:hAnsi="Times New Roman" w:cs="Times New Roman"/>
          <w:sz w:val="24"/>
          <w:szCs w:val="24"/>
        </w:rPr>
        <w:t>cho thấy</w:t>
      </w:r>
      <w:r>
        <w:rPr>
          <w:rFonts w:ascii="Times New Roman" w:hAnsi="Times New Roman" w:cs="Times New Roman"/>
          <w:sz w:val="24"/>
          <w:szCs w:val="24"/>
        </w:rPr>
        <w:t xml:space="preserve">, </w:t>
      </w:r>
      <w:r w:rsidRPr="009264DD">
        <w:rPr>
          <w:rFonts w:ascii="Times New Roman" w:hAnsi="Times New Roman" w:cs="Times New Roman"/>
          <w:sz w:val="24"/>
          <w:szCs w:val="24"/>
        </w:rPr>
        <w:t xml:space="preserve">sở hữu nước ngoài có </w:t>
      </w:r>
      <w:r>
        <w:rPr>
          <w:rFonts w:ascii="Times New Roman" w:hAnsi="Times New Roman" w:cs="Times New Roman"/>
          <w:sz w:val="24"/>
          <w:szCs w:val="24"/>
        </w:rPr>
        <w:t>tác động</w:t>
      </w:r>
      <w:r w:rsidRPr="009264DD">
        <w:rPr>
          <w:rFonts w:ascii="Times New Roman" w:hAnsi="Times New Roman" w:cs="Times New Roman"/>
          <w:sz w:val="24"/>
          <w:szCs w:val="24"/>
        </w:rPr>
        <w:t xml:space="preserve"> </w:t>
      </w:r>
      <w:r>
        <w:rPr>
          <w:rFonts w:ascii="Times New Roman" w:hAnsi="Times New Roman" w:cs="Times New Roman"/>
          <w:sz w:val="24"/>
          <w:szCs w:val="24"/>
        </w:rPr>
        <w:t>ngược chiều</w:t>
      </w:r>
      <w:r w:rsidRPr="009264DD">
        <w:rPr>
          <w:rFonts w:ascii="Times New Roman" w:hAnsi="Times New Roman" w:cs="Times New Roman"/>
          <w:sz w:val="24"/>
          <w:szCs w:val="24"/>
        </w:rPr>
        <w:t xml:space="preserve"> với rủi ro thanh khoản của các ngân hàng thương mại Việt Nam</w:t>
      </w:r>
      <w:r>
        <w:rPr>
          <w:rFonts w:ascii="Times New Roman" w:hAnsi="Times New Roman" w:cs="Times New Roman"/>
          <w:sz w:val="24"/>
          <w:szCs w:val="24"/>
        </w:rPr>
        <w:t xml:space="preserve"> (biến </w:t>
      </w:r>
      <w:r w:rsidRPr="00D01538">
        <w:rPr>
          <w:rFonts w:ascii="Times New Roman" w:eastAsia="Times New Roman" w:hAnsi="Times New Roman" w:cs="Times New Roman"/>
          <w:color w:val="000000"/>
          <w:sz w:val="24"/>
          <w:szCs w:val="24"/>
        </w:rPr>
        <w:t xml:space="preserve">FOWN có tác động âm </w:t>
      </w:r>
      <w:r>
        <w:rPr>
          <w:rFonts w:ascii="Times New Roman" w:eastAsia="Times New Roman" w:hAnsi="Times New Roman" w:cs="Times New Roman"/>
          <w:color w:val="000000"/>
          <w:sz w:val="24"/>
          <w:szCs w:val="24"/>
        </w:rPr>
        <w:t xml:space="preserve">lên biến phụ thuộc </w:t>
      </w:r>
      <w:r w:rsidRPr="00D01538">
        <w:rPr>
          <w:rFonts w:ascii="Times New Roman" w:eastAsia="Times New Roman" w:hAnsi="Times New Roman" w:cs="Times New Roman"/>
          <w:color w:val="000000"/>
          <w:sz w:val="24"/>
          <w:szCs w:val="24"/>
        </w:rPr>
        <w:t xml:space="preserve">và có ý nghĩa thống kê </w:t>
      </w:r>
      <w:r>
        <w:rPr>
          <w:rFonts w:ascii="Times New Roman" w:eastAsia="Times New Roman" w:hAnsi="Times New Roman" w:cs="Times New Roman"/>
          <w:color w:val="000000"/>
          <w:sz w:val="24"/>
          <w:szCs w:val="24"/>
        </w:rPr>
        <w:t>ở</w:t>
      </w:r>
      <w:r w:rsidRPr="00D01538">
        <w:rPr>
          <w:rFonts w:ascii="Times New Roman" w:eastAsia="Times New Roman" w:hAnsi="Times New Roman" w:cs="Times New Roman"/>
          <w:color w:val="000000"/>
          <w:sz w:val="24"/>
          <w:szCs w:val="24"/>
        </w:rPr>
        <w:t xml:space="preserve"> mức 5%)</w:t>
      </w:r>
      <w:r w:rsidRPr="009264DD">
        <w:rPr>
          <w:rFonts w:ascii="Times New Roman" w:hAnsi="Times New Roman" w:cs="Times New Roman"/>
          <w:sz w:val="24"/>
          <w:szCs w:val="24"/>
        </w:rPr>
        <w:t xml:space="preserve">. </w:t>
      </w:r>
      <w:r>
        <w:rPr>
          <w:rFonts w:ascii="Times New Roman" w:hAnsi="Times New Roman" w:cs="Times New Roman"/>
          <w:sz w:val="24"/>
          <w:szCs w:val="24"/>
        </w:rPr>
        <w:t xml:space="preserve">Điều đó chứng tỏ rằng tỷ lệ sở </w:t>
      </w:r>
      <w:r w:rsidRPr="00586F9A">
        <w:rPr>
          <w:rFonts w:ascii="Times New Roman" w:hAnsi="Times New Roman" w:cs="Times New Roman"/>
          <w:sz w:val="24"/>
          <w:szCs w:val="24"/>
        </w:rPr>
        <w:t xml:space="preserve">hữu nước ngoài </w:t>
      </w:r>
      <w:r>
        <w:rPr>
          <w:rFonts w:ascii="Times New Roman" w:hAnsi="Times New Roman" w:cs="Times New Roman"/>
          <w:sz w:val="24"/>
          <w:szCs w:val="24"/>
        </w:rPr>
        <w:t>c</w:t>
      </w:r>
      <w:r w:rsidRPr="00586F9A">
        <w:rPr>
          <w:rFonts w:ascii="Times New Roman" w:hAnsi="Times New Roman" w:cs="Times New Roman"/>
          <w:sz w:val="24"/>
          <w:szCs w:val="24"/>
        </w:rPr>
        <w:t xml:space="preserve">ao sẽ làm giảm rủi ro thanh khoản các ngân hàng thương mại Việt Nam. </w:t>
      </w:r>
      <w:r>
        <w:rPr>
          <w:rFonts w:ascii="Times New Roman" w:hAnsi="Times New Roman" w:cs="Times New Roman"/>
          <w:sz w:val="24"/>
          <w:szCs w:val="24"/>
        </w:rPr>
        <w:t xml:space="preserve">Như vậy, sự có mặt của nhà đầu tư nước ngoài đã nâng cao năng lực quản trị thanh khoản, làm giảm rủi ro thanh khoản của các ngân hàng thương mại Việt Nam </w:t>
      </w:r>
      <w:r>
        <w:rPr>
          <w:rFonts w:ascii="Times New Roman" w:hAnsi="Times New Roman" w:cs="Times New Roman"/>
          <w:noProof/>
          <w:sz w:val="24"/>
          <w:szCs w:val="24"/>
        </w:rPr>
        <w:t>(Trần Hoàng Ngân &amp; Phạm Quốc Việt 2016)</w:t>
      </w:r>
      <w:r>
        <w:rPr>
          <w:rFonts w:ascii="Times New Roman" w:hAnsi="Times New Roman" w:cs="Times New Roman"/>
          <w:sz w:val="24"/>
          <w:szCs w:val="24"/>
        </w:rPr>
        <w:t>. Kết quả này đã cung cấp thêm bằng chứng thực nghiệm chứng minh giả thuyết cho rằng cổ đông nước ngoài có ảnh hưởng làm giảm rủi ro của các ngân hàng thương mại.</w:t>
      </w:r>
    </w:p>
    <w:p w:rsidR="00433FFF" w:rsidRDefault="00433FFF" w:rsidP="001E7A8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Nghiên cứu chưa đủ bằng chứng để kết luận về mối quan hệ giữa rủi ro tín </w:t>
      </w:r>
      <w:r w:rsidRPr="00117B2D">
        <w:rPr>
          <w:rFonts w:ascii="Times New Roman" w:hAnsi="Times New Roman" w:cs="Times New Roman"/>
          <w:sz w:val="24"/>
          <w:szCs w:val="24"/>
        </w:rPr>
        <w:t xml:space="preserve">dụng </w:t>
      </w:r>
      <w:r>
        <w:rPr>
          <w:rFonts w:ascii="Times New Roman" w:hAnsi="Times New Roman" w:cs="Times New Roman"/>
          <w:sz w:val="24"/>
          <w:szCs w:val="24"/>
        </w:rPr>
        <w:t xml:space="preserve">và rủi ro thanh khoản của các NHTM Việt Nam. Kết quả này phù hợp với các nghiên cứu của </w:t>
      </w:r>
      <w:r>
        <w:rPr>
          <w:rFonts w:ascii="Times New Roman" w:hAnsi="Times New Roman" w:cs="Times New Roman"/>
          <w:noProof/>
          <w:sz w:val="24"/>
          <w:szCs w:val="24"/>
        </w:rPr>
        <w:t>Imbierowicz &amp; Rauch (2014)</w:t>
      </w:r>
      <w:r>
        <w:rPr>
          <w:rFonts w:ascii="Times New Roman" w:hAnsi="Times New Roman" w:cs="Times New Roman"/>
          <w:sz w:val="24"/>
          <w:szCs w:val="24"/>
        </w:rPr>
        <w:t xml:space="preserve"> và </w:t>
      </w:r>
      <w:r>
        <w:rPr>
          <w:rFonts w:ascii="Times New Roman" w:hAnsi="Times New Roman" w:cs="Times New Roman"/>
          <w:noProof/>
          <w:sz w:val="24"/>
          <w:szCs w:val="24"/>
        </w:rPr>
        <w:t>Võ Xuân Vinh &amp; Phạm Hồng Vy (2017)</w:t>
      </w:r>
      <w:r>
        <w:rPr>
          <w:rFonts w:ascii="Times New Roman" w:hAnsi="Times New Roman" w:cs="Times New Roman"/>
          <w:sz w:val="24"/>
          <w:szCs w:val="24"/>
        </w:rPr>
        <w:t>. Tuy nhiên, r</w:t>
      </w:r>
      <w:r w:rsidRPr="009264DD">
        <w:rPr>
          <w:rFonts w:ascii="Times New Roman" w:hAnsi="Times New Roman" w:cs="Times New Roman"/>
          <w:sz w:val="24"/>
          <w:szCs w:val="24"/>
        </w:rPr>
        <w:t xml:space="preserve">ủi ro </w:t>
      </w:r>
      <w:r w:rsidRPr="009264DD">
        <w:rPr>
          <w:rFonts w:ascii="Times New Roman" w:hAnsi="Times New Roman" w:cs="Times New Roman"/>
          <w:sz w:val="24"/>
          <w:szCs w:val="24"/>
        </w:rPr>
        <w:lastRenderedPageBreak/>
        <w:t>tín dụng năm trướ</w:t>
      </w:r>
      <w:r>
        <w:rPr>
          <w:rFonts w:ascii="Times New Roman" w:hAnsi="Times New Roman" w:cs="Times New Roman"/>
          <w:sz w:val="24"/>
          <w:szCs w:val="24"/>
        </w:rPr>
        <w:t xml:space="preserve">c </w:t>
      </w:r>
      <w:r w:rsidRPr="009264DD">
        <w:rPr>
          <w:rFonts w:ascii="Times New Roman" w:hAnsi="Times New Roman" w:cs="Times New Roman"/>
          <w:sz w:val="24"/>
          <w:szCs w:val="24"/>
        </w:rPr>
        <w:t xml:space="preserve">có tác động </w:t>
      </w:r>
      <w:r>
        <w:rPr>
          <w:rFonts w:ascii="Times New Roman" w:hAnsi="Times New Roman" w:cs="Times New Roman"/>
          <w:sz w:val="24"/>
          <w:szCs w:val="24"/>
        </w:rPr>
        <w:t>cùng chiều</w:t>
      </w:r>
      <w:r w:rsidRPr="009264DD">
        <w:rPr>
          <w:rFonts w:ascii="Times New Roman" w:hAnsi="Times New Roman" w:cs="Times New Roman"/>
          <w:sz w:val="24"/>
          <w:szCs w:val="24"/>
        </w:rPr>
        <w:t xml:space="preserve"> đến rủi ro thanh khoản của ngân hàng đó trong năm hiện tại</w:t>
      </w:r>
      <w:r>
        <w:rPr>
          <w:rFonts w:ascii="Times New Roman" w:hAnsi="Times New Roman" w:cs="Times New Roman"/>
          <w:sz w:val="24"/>
          <w:szCs w:val="24"/>
        </w:rPr>
        <w:t xml:space="preserve"> (biến trễ của rủi ro tín dụng có tác động dương lên biến phụ thuộc với mức ý nghĩa 1%). Điều này có thể lý giải rằng các ngân hàng có rủi tín dụng năm trước cao phải đối mặt với khó khăn trong quá trình thu hồi các khoản cho vay (lãi và gốc). Hơn nữa, rủi ro tín dụng còn làm cho tỷ lệ trích lập dự phòng tăng làm cho lợi nhuận ngân hàng sụt giảm. Áp lực tăng lợi nhuận sẽ khiến cho các ngân hàng giảm nắm giữ các tài sản thanh khoản, tăng các khoản đầu tư có rủi ro </w:t>
      </w:r>
      <w:r w:rsidRPr="00117B2D">
        <w:rPr>
          <w:rFonts w:ascii="Times New Roman" w:hAnsi="Times New Roman" w:cs="Times New Roman"/>
          <w:sz w:val="24"/>
          <w:szCs w:val="24"/>
        </w:rPr>
        <w:t>cao hơn nên</w:t>
      </w:r>
      <w:r>
        <w:rPr>
          <w:rFonts w:ascii="Times New Roman" w:hAnsi="Times New Roman" w:cs="Times New Roman"/>
          <w:sz w:val="24"/>
          <w:szCs w:val="24"/>
        </w:rPr>
        <w:t xml:space="preserve"> rủi ro thanh khoản tăng. Tương tự </w:t>
      </w:r>
      <w:r>
        <w:rPr>
          <w:rFonts w:ascii="Times New Roman" w:hAnsi="Times New Roman" w:cs="Times New Roman"/>
          <w:noProof/>
          <w:sz w:val="24"/>
          <w:szCs w:val="24"/>
        </w:rPr>
        <w:t>Võ Xuân Vinh &amp; Phạm Hồng Vy (2017)</w:t>
      </w:r>
      <w:r>
        <w:rPr>
          <w:rFonts w:ascii="Times New Roman" w:hAnsi="Times New Roman" w:cs="Times New Roman"/>
          <w:sz w:val="24"/>
          <w:szCs w:val="24"/>
        </w:rPr>
        <w:t xml:space="preserve">, kết quả nghiên cứu cho thấy </w:t>
      </w:r>
      <w:r w:rsidRPr="009264DD">
        <w:rPr>
          <w:rFonts w:ascii="Times New Roman" w:hAnsi="Times New Roman" w:cs="Times New Roman"/>
          <w:sz w:val="24"/>
          <w:szCs w:val="24"/>
        </w:rPr>
        <w:t>rủi ro thanh khoản năm trước của các ngân hàng</w:t>
      </w:r>
      <w:r>
        <w:rPr>
          <w:rFonts w:ascii="Times New Roman" w:hAnsi="Times New Roman" w:cs="Times New Roman"/>
          <w:sz w:val="24"/>
          <w:szCs w:val="24"/>
        </w:rPr>
        <w:t xml:space="preserve"> có tác động cùng chiều đến rủi ro thanh khoản năm hiện tại </w:t>
      </w:r>
      <w:r w:rsidRPr="009264DD">
        <w:rPr>
          <w:rFonts w:ascii="Times New Roman" w:hAnsi="Times New Roman" w:cs="Times New Roman"/>
          <w:sz w:val="24"/>
          <w:szCs w:val="24"/>
        </w:rPr>
        <w:t>với mức ý nghĩa 1%.</w:t>
      </w:r>
      <w:r>
        <w:rPr>
          <w:rFonts w:ascii="Times New Roman" w:hAnsi="Times New Roman" w:cs="Times New Roman"/>
          <w:sz w:val="24"/>
          <w:szCs w:val="24"/>
        </w:rPr>
        <w:t xml:space="preserve"> </w:t>
      </w:r>
      <w:r w:rsidRPr="009264DD">
        <w:rPr>
          <w:rFonts w:ascii="Times New Roman" w:hAnsi="Times New Roman" w:cs="Times New Roman"/>
          <w:sz w:val="24"/>
          <w:szCs w:val="24"/>
        </w:rPr>
        <w:t>Điều đó cho thấy rằ</w:t>
      </w:r>
      <w:r>
        <w:rPr>
          <w:rFonts w:ascii="Times New Roman" w:hAnsi="Times New Roman" w:cs="Times New Roman"/>
          <w:sz w:val="24"/>
          <w:szCs w:val="24"/>
        </w:rPr>
        <w:t>ng</w:t>
      </w:r>
      <w:r w:rsidRPr="009264DD">
        <w:rPr>
          <w:rFonts w:ascii="Times New Roman" w:hAnsi="Times New Roman" w:cs="Times New Roman"/>
          <w:sz w:val="24"/>
          <w:szCs w:val="24"/>
        </w:rPr>
        <w:t xml:space="preserve"> rủi ro thanh khoản </w:t>
      </w:r>
      <w:r>
        <w:rPr>
          <w:rFonts w:ascii="Times New Roman" w:hAnsi="Times New Roman" w:cs="Times New Roman"/>
          <w:sz w:val="24"/>
          <w:szCs w:val="24"/>
        </w:rPr>
        <w:t>c</w:t>
      </w:r>
      <w:r w:rsidRPr="009264DD">
        <w:rPr>
          <w:rFonts w:ascii="Times New Roman" w:hAnsi="Times New Roman" w:cs="Times New Roman"/>
          <w:sz w:val="24"/>
          <w:szCs w:val="24"/>
        </w:rPr>
        <w:t>ủa ngân hàng trong năm trướ</w:t>
      </w:r>
      <w:r>
        <w:rPr>
          <w:rFonts w:ascii="Times New Roman" w:hAnsi="Times New Roman" w:cs="Times New Roman"/>
          <w:sz w:val="24"/>
          <w:szCs w:val="24"/>
        </w:rPr>
        <w:t xml:space="preserve">c </w:t>
      </w:r>
      <w:r w:rsidRPr="009264DD">
        <w:rPr>
          <w:rFonts w:ascii="Times New Roman" w:hAnsi="Times New Roman" w:cs="Times New Roman"/>
          <w:sz w:val="24"/>
          <w:szCs w:val="24"/>
        </w:rPr>
        <w:t xml:space="preserve">cao </w:t>
      </w:r>
      <w:r>
        <w:rPr>
          <w:rFonts w:ascii="Times New Roman" w:hAnsi="Times New Roman" w:cs="Times New Roman"/>
          <w:sz w:val="24"/>
          <w:szCs w:val="24"/>
        </w:rPr>
        <w:t>sẽ tác động làm tăng</w:t>
      </w:r>
      <w:r w:rsidRPr="009264DD">
        <w:rPr>
          <w:rFonts w:ascii="Times New Roman" w:hAnsi="Times New Roman" w:cs="Times New Roman"/>
          <w:sz w:val="24"/>
          <w:szCs w:val="24"/>
        </w:rPr>
        <w:t xml:space="preserve"> rủi ro thanh khoản </w:t>
      </w:r>
      <w:r>
        <w:rPr>
          <w:rFonts w:ascii="Times New Roman" w:hAnsi="Times New Roman" w:cs="Times New Roman"/>
          <w:sz w:val="24"/>
          <w:szCs w:val="24"/>
        </w:rPr>
        <w:t xml:space="preserve">năm hiện tại </w:t>
      </w:r>
      <w:r w:rsidRPr="009264DD">
        <w:rPr>
          <w:rFonts w:ascii="Times New Roman" w:hAnsi="Times New Roman" w:cs="Times New Roman"/>
          <w:sz w:val="24"/>
          <w:szCs w:val="24"/>
        </w:rPr>
        <w:t>của ngân hàng đó.</w:t>
      </w:r>
      <w:r>
        <w:rPr>
          <w:rFonts w:ascii="Times New Roman" w:hAnsi="Times New Roman" w:cs="Times New Roman"/>
          <w:sz w:val="24"/>
          <w:szCs w:val="24"/>
        </w:rPr>
        <w:t xml:space="preserve"> Như vậy, rủi ro tín dụng và rủi ro thanh khoản năm trước nếu không được khắc phục tận gốc sẽ ảnh hưởng đến hoạt động của ngân hàng và sẽ làm cho rủi ro thanh khoản của năm hiện tại thêm trầm trọng </w:t>
      </w:r>
      <w:r>
        <w:rPr>
          <w:rFonts w:ascii="Times New Roman" w:hAnsi="Times New Roman" w:cs="Times New Roman"/>
          <w:noProof/>
          <w:sz w:val="24"/>
          <w:szCs w:val="24"/>
        </w:rPr>
        <w:t>(Võ Xuân Vinh &amp; Phạm Hồng Vy 2017)</w:t>
      </w:r>
      <w:r>
        <w:rPr>
          <w:rFonts w:ascii="Times New Roman" w:hAnsi="Times New Roman" w:cs="Times New Roman"/>
          <w:sz w:val="24"/>
          <w:szCs w:val="24"/>
        </w:rPr>
        <w:t xml:space="preserve">. </w:t>
      </w:r>
    </w:p>
    <w:p w:rsidR="00433FFF"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sz w:val="24"/>
          <w:szCs w:val="24"/>
        </w:rPr>
        <w:t>Các biến quy mô ngân hàng (SIZE) có tác động âm và tỷ lệ vốn trên tổng tài sản (EA) có tác động dương đến rủi ro thanh khoản của các ngân hàng. Tuy nhiên, chỉ có biến SIZE có ý nghĩa thống kê với mức ý nghĩa 1%.</w:t>
      </w:r>
      <w:r>
        <w:rPr>
          <w:rFonts w:ascii="Times New Roman" w:hAnsi="Times New Roman" w:cs="Times New Roman"/>
          <w:sz w:val="24"/>
          <w:szCs w:val="24"/>
        </w:rPr>
        <w:t xml:space="preserve"> </w:t>
      </w:r>
      <w:r w:rsidRPr="009264DD">
        <w:rPr>
          <w:rFonts w:ascii="Times New Roman" w:hAnsi="Times New Roman" w:cs="Times New Roman"/>
          <w:sz w:val="24"/>
          <w:szCs w:val="24"/>
        </w:rPr>
        <w:t xml:space="preserve">Điều đó cho thấy, quy mô </w:t>
      </w:r>
      <w:r>
        <w:rPr>
          <w:rFonts w:ascii="Times New Roman" w:hAnsi="Times New Roman" w:cs="Times New Roman"/>
          <w:sz w:val="24"/>
          <w:szCs w:val="24"/>
        </w:rPr>
        <w:t>tổng tài sản ngân hàng tăng</w:t>
      </w:r>
      <w:r w:rsidRPr="009264DD">
        <w:rPr>
          <w:rFonts w:ascii="Times New Roman" w:hAnsi="Times New Roman" w:cs="Times New Roman"/>
          <w:sz w:val="24"/>
          <w:szCs w:val="24"/>
        </w:rPr>
        <w:t xml:space="preserve"> thì rủi ro thanh khoản của ngân hàng giả</w:t>
      </w:r>
      <w:r>
        <w:rPr>
          <w:rFonts w:ascii="Times New Roman" w:hAnsi="Times New Roman" w:cs="Times New Roman"/>
          <w:sz w:val="24"/>
          <w:szCs w:val="24"/>
        </w:rPr>
        <w:t xml:space="preserve">m </w:t>
      </w:r>
      <w:r>
        <w:rPr>
          <w:rFonts w:ascii="Times New Roman" w:hAnsi="Times New Roman" w:cs="Times New Roman"/>
          <w:noProof/>
          <w:sz w:val="24"/>
          <w:szCs w:val="24"/>
        </w:rPr>
        <w:t>(Lucchetta 2007)</w:t>
      </w:r>
      <w:r>
        <w:rPr>
          <w:rFonts w:cs="Times New Roman"/>
          <w:sz w:val="26"/>
          <w:szCs w:val="26"/>
        </w:rPr>
        <w:t>.</w:t>
      </w:r>
      <w:r>
        <w:rPr>
          <w:rFonts w:ascii="Times New Roman" w:hAnsi="Times New Roman" w:cs="Times New Roman"/>
          <w:sz w:val="24"/>
          <w:szCs w:val="24"/>
        </w:rPr>
        <w:t xml:space="preserve"> Trên thực tế, các ngân hàng có quy mô lớn thường là các ngân hàng có uy tín. Những ngân hàng này có thể dễ dàng huy động được nguồn tiền gửi dồi dào, ổn định với chi phí thấp từ các thành phần kinh tế. Mặt khác, khách hàng của các ngân hàng này phần lớn là các cá nhân, doanh nghiệp có nền tảng tài chính lành mạnh. Hơn nữa, các dự án do ngân hàng tài trợ cho nhóm khách hàng này thường có hiệu quả cao, ngân hàng có thể thu lãi và gốc đúng hạn. Từ đó giảm nguy cơ hao hụt tài sản và lợi nhuận tăng trưởng bền vững. Những điều kiện đó đã tác động làm cho rủi ro thanh khoản </w:t>
      </w:r>
      <w:r w:rsidRPr="00A7320A">
        <w:rPr>
          <w:rFonts w:ascii="Times New Roman" w:hAnsi="Times New Roman" w:cs="Times New Roman"/>
          <w:sz w:val="24"/>
          <w:szCs w:val="24"/>
        </w:rPr>
        <w:t>của ngân hàng giảm.</w:t>
      </w:r>
    </w:p>
    <w:p w:rsidR="00433FFF"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sz w:val="24"/>
          <w:szCs w:val="24"/>
        </w:rPr>
        <w:t>Các biến lãi suất huy động thực (DR) và lãi suất liên ngân hàng thực</w:t>
      </w:r>
      <w:r>
        <w:rPr>
          <w:rFonts w:ascii="Times New Roman" w:hAnsi="Times New Roman" w:cs="Times New Roman"/>
          <w:sz w:val="24"/>
          <w:szCs w:val="24"/>
        </w:rPr>
        <w:t xml:space="preserve"> </w:t>
      </w:r>
      <w:r w:rsidRPr="009264DD">
        <w:rPr>
          <w:rFonts w:ascii="Times New Roman" w:hAnsi="Times New Roman" w:cs="Times New Roman"/>
          <w:sz w:val="24"/>
          <w:szCs w:val="24"/>
        </w:rPr>
        <w:t xml:space="preserve">(IR) có tác động dương </w:t>
      </w:r>
      <w:r>
        <w:rPr>
          <w:rFonts w:ascii="Times New Roman" w:hAnsi="Times New Roman" w:cs="Times New Roman"/>
          <w:sz w:val="24"/>
          <w:szCs w:val="24"/>
        </w:rPr>
        <w:t xml:space="preserve">đến rủi ro thanh khoản của ngân hàng </w:t>
      </w:r>
      <w:r w:rsidRPr="009264DD">
        <w:rPr>
          <w:rFonts w:ascii="Times New Roman" w:hAnsi="Times New Roman" w:cs="Times New Roman"/>
          <w:sz w:val="24"/>
          <w:szCs w:val="24"/>
        </w:rPr>
        <w:t>với mức ý nghĩa 1%. Như vậy, lãi suất</w:t>
      </w:r>
      <w:r>
        <w:rPr>
          <w:rFonts w:ascii="Times New Roman" w:hAnsi="Times New Roman" w:cs="Times New Roman"/>
          <w:sz w:val="24"/>
          <w:szCs w:val="24"/>
        </w:rPr>
        <w:t xml:space="preserve"> tăng sẽ</w:t>
      </w:r>
      <w:r w:rsidRPr="009264DD">
        <w:rPr>
          <w:rFonts w:ascii="Times New Roman" w:hAnsi="Times New Roman" w:cs="Times New Roman"/>
          <w:sz w:val="24"/>
          <w:szCs w:val="24"/>
        </w:rPr>
        <w:t xml:space="preserve"> tác động làm tăng rủi ro thanh khoản </w:t>
      </w:r>
      <w:r>
        <w:rPr>
          <w:rFonts w:ascii="Times New Roman" w:hAnsi="Times New Roman" w:cs="Times New Roman"/>
          <w:sz w:val="24"/>
          <w:szCs w:val="24"/>
        </w:rPr>
        <w:t>của</w:t>
      </w:r>
      <w:r w:rsidRPr="009264DD">
        <w:rPr>
          <w:rFonts w:ascii="Times New Roman" w:hAnsi="Times New Roman" w:cs="Times New Roman"/>
          <w:sz w:val="24"/>
          <w:szCs w:val="24"/>
        </w:rPr>
        <w:t xml:space="preserve"> các ngân hàng thương mại. </w:t>
      </w:r>
      <w:r>
        <w:rPr>
          <w:rFonts w:ascii="Times New Roman" w:hAnsi="Times New Roman" w:cs="Times New Roman"/>
          <w:sz w:val="24"/>
          <w:szCs w:val="24"/>
        </w:rPr>
        <w:t>Khi lãi suất huy động tăng sẽ làm cho chi phí đầu vào của các ngân hàng tăng. Do áp lực chi phí, các ngân hàng giảm dự trữ tài sản thanh khoản, cho vay với lãi suất cao và thu hồi nợ khó hơn nên rủi thanh khoản của các ngân hàng tăng lên.</w:t>
      </w:r>
    </w:p>
    <w:p w:rsidR="00433FFF" w:rsidRPr="00D7177F" w:rsidRDefault="00433FFF" w:rsidP="001E7A86">
      <w:pPr>
        <w:spacing w:before="120" w:after="120" w:line="240" w:lineRule="auto"/>
        <w:ind w:firstLine="720"/>
        <w:jc w:val="both"/>
        <w:rPr>
          <w:rFonts w:ascii="Times New Roman" w:hAnsi="Times New Roman" w:cs="Times New Roman"/>
          <w:sz w:val="24"/>
          <w:szCs w:val="24"/>
        </w:rPr>
      </w:pPr>
      <w:r w:rsidRPr="009264DD">
        <w:rPr>
          <w:rFonts w:ascii="Times New Roman" w:hAnsi="Times New Roman" w:cs="Times New Roman"/>
          <w:sz w:val="24"/>
          <w:szCs w:val="24"/>
        </w:rPr>
        <w:t xml:space="preserve">Biến tăng trưởng GDP có tác động âm đến rủi ro thanh khoản. </w:t>
      </w:r>
      <w:r>
        <w:rPr>
          <w:rFonts w:ascii="Times New Roman" w:hAnsi="Times New Roman" w:cs="Times New Roman"/>
          <w:sz w:val="24"/>
          <w:szCs w:val="24"/>
        </w:rPr>
        <w:t>Như vậy, trong nền kinh tế có mức tăng trưởng kinh tế cao và bền vững, rủi ro thanh khoản của các ngân hàng thương mại sẽ thấp.</w:t>
      </w:r>
    </w:p>
    <w:p w:rsidR="00433FFF" w:rsidRDefault="00433FFF" w:rsidP="001E7A86">
      <w:pPr>
        <w:pStyle w:val="EndNoteBibliography"/>
        <w:spacing w:before="120" w:after="120"/>
        <w:rPr>
          <w:rFonts w:ascii="Times New Roman" w:hAnsi="Times New Roman" w:cs="Times New Roman"/>
          <w:b/>
          <w:noProof w:val="0"/>
          <w:sz w:val="24"/>
          <w:szCs w:val="24"/>
        </w:rPr>
      </w:pPr>
      <w:r w:rsidRPr="009264DD">
        <w:rPr>
          <w:rFonts w:ascii="Times New Roman" w:hAnsi="Times New Roman" w:cs="Times New Roman"/>
          <w:b/>
          <w:noProof w:val="0"/>
          <w:sz w:val="24"/>
          <w:szCs w:val="24"/>
        </w:rPr>
        <w:t>5</w:t>
      </w:r>
      <w:r>
        <w:rPr>
          <w:rFonts w:ascii="Times New Roman" w:hAnsi="Times New Roman" w:cs="Times New Roman"/>
          <w:b/>
          <w:noProof w:val="0"/>
          <w:sz w:val="24"/>
          <w:szCs w:val="24"/>
        </w:rPr>
        <w:t xml:space="preserve">. </w:t>
      </w:r>
      <w:r w:rsidRPr="009264DD">
        <w:rPr>
          <w:rFonts w:ascii="Times New Roman" w:hAnsi="Times New Roman" w:cs="Times New Roman"/>
          <w:b/>
          <w:noProof w:val="0"/>
          <w:sz w:val="24"/>
          <w:szCs w:val="24"/>
        </w:rPr>
        <w:t>Kết luận và hàm ý chính sách</w:t>
      </w:r>
    </w:p>
    <w:p w:rsidR="00433FFF" w:rsidRPr="00A7320A" w:rsidRDefault="00433FFF" w:rsidP="001E7A86">
      <w:pPr>
        <w:pStyle w:val="EndNoteBibliography"/>
        <w:spacing w:before="120" w:after="120"/>
        <w:rPr>
          <w:rFonts w:ascii="Times New Roman" w:hAnsi="Times New Roman" w:cs="Times New Roman"/>
          <w:b/>
          <w:i/>
          <w:noProof w:val="0"/>
          <w:sz w:val="24"/>
          <w:szCs w:val="24"/>
        </w:rPr>
      </w:pPr>
      <w:r w:rsidRPr="00A7320A">
        <w:rPr>
          <w:rFonts w:ascii="Times New Roman" w:hAnsi="Times New Roman" w:cs="Times New Roman"/>
          <w:b/>
          <w:i/>
          <w:noProof w:val="0"/>
          <w:sz w:val="24"/>
          <w:szCs w:val="24"/>
        </w:rPr>
        <w:t>5.</w:t>
      </w:r>
      <w:r>
        <w:rPr>
          <w:rFonts w:ascii="Times New Roman" w:hAnsi="Times New Roman" w:cs="Times New Roman"/>
          <w:b/>
          <w:i/>
          <w:noProof w:val="0"/>
          <w:sz w:val="24"/>
          <w:szCs w:val="24"/>
        </w:rPr>
        <w:t xml:space="preserve">1. </w:t>
      </w:r>
      <w:r w:rsidRPr="00A7320A">
        <w:rPr>
          <w:rFonts w:ascii="Times New Roman" w:hAnsi="Times New Roman" w:cs="Times New Roman"/>
          <w:b/>
          <w:i/>
          <w:noProof w:val="0"/>
          <w:sz w:val="24"/>
          <w:szCs w:val="24"/>
        </w:rPr>
        <w:t>Kết luận</w:t>
      </w:r>
    </w:p>
    <w:p w:rsidR="00433FFF" w:rsidRDefault="00433FFF" w:rsidP="001E7A86">
      <w:pPr>
        <w:spacing w:before="120" w:after="120" w:line="240" w:lineRule="auto"/>
        <w:ind w:firstLine="720"/>
        <w:jc w:val="both"/>
        <w:rPr>
          <w:rFonts w:ascii="Times New Roman" w:hAnsi="Times New Roman"/>
          <w:sz w:val="24"/>
          <w:szCs w:val="24"/>
        </w:rPr>
      </w:pPr>
      <w:r w:rsidRPr="009264DD">
        <w:rPr>
          <w:rFonts w:ascii="Times New Roman" w:hAnsi="Times New Roman"/>
          <w:sz w:val="24"/>
          <w:szCs w:val="24"/>
        </w:rPr>
        <w:t xml:space="preserve">Bài báo nghiên cứu ảnh hưởng của </w:t>
      </w:r>
      <w:r>
        <w:rPr>
          <w:rFonts w:ascii="Times New Roman" w:eastAsia="Times New Roman" w:hAnsi="Times New Roman"/>
          <w:sz w:val="24"/>
          <w:szCs w:val="24"/>
        </w:rPr>
        <w:t>sở hữu</w:t>
      </w:r>
      <w:r w:rsidRPr="009264DD">
        <w:rPr>
          <w:rFonts w:ascii="Times New Roman" w:eastAsia="Times New Roman" w:hAnsi="Times New Roman"/>
          <w:sz w:val="24"/>
          <w:szCs w:val="24"/>
        </w:rPr>
        <w:t xml:space="preserve"> nước ngoài </w:t>
      </w:r>
      <w:r w:rsidRPr="009264DD">
        <w:rPr>
          <w:rFonts w:ascii="Times New Roman" w:hAnsi="Times New Roman"/>
          <w:sz w:val="24"/>
          <w:szCs w:val="24"/>
        </w:rPr>
        <w:t xml:space="preserve">đến </w:t>
      </w:r>
      <w:r>
        <w:rPr>
          <w:rFonts w:ascii="Times New Roman" w:hAnsi="Times New Roman"/>
          <w:sz w:val="24"/>
          <w:szCs w:val="24"/>
        </w:rPr>
        <w:t xml:space="preserve">rủi ro </w:t>
      </w:r>
      <w:r w:rsidRPr="009264DD">
        <w:rPr>
          <w:rFonts w:ascii="Times New Roman" w:hAnsi="Times New Roman"/>
          <w:sz w:val="24"/>
          <w:szCs w:val="24"/>
        </w:rPr>
        <w:t xml:space="preserve">thanh khoản của </w:t>
      </w:r>
      <w:r>
        <w:rPr>
          <w:rFonts w:ascii="Times New Roman" w:hAnsi="Times New Roman"/>
          <w:sz w:val="24"/>
          <w:szCs w:val="24"/>
        </w:rPr>
        <w:t>các</w:t>
      </w:r>
      <w:r w:rsidRPr="009264DD">
        <w:rPr>
          <w:rFonts w:ascii="Times New Roman" w:hAnsi="Times New Roman"/>
          <w:sz w:val="24"/>
          <w:szCs w:val="24"/>
        </w:rPr>
        <w:t xml:space="preserve"> </w:t>
      </w:r>
      <w:r>
        <w:rPr>
          <w:rFonts w:ascii="Times New Roman" w:hAnsi="Times New Roman"/>
          <w:sz w:val="24"/>
          <w:szCs w:val="24"/>
        </w:rPr>
        <w:t xml:space="preserve">NHTM </w:t>
      </w:r>
      <w:r w:rsidRPr="009264DD">
        <w:rPr>
          <w:rFonts w:ascii="Times New Roman" w:hAnsi="Times New Roman"/>
          <w:sz w:val="24"/>
          <w:szCs w:val="24"/>
        </w:rPr>
        <w:t>Việ</w:t>
      </w:r>
      <w:r>
        <w:rPr>
          <w:rFonts w:ascii="Times New Roman" w:hAnsi="Times New Roman"/>
          <w:sz w:val="24"/>
          <w:szCs w:val="24"/>
        </w:rPr>
        <w:t>t Nam trong giai đoạn 2009-2015</w:t>
      </w:r>
      <w:r w:rsidRPr="009264DD">
        <w:rPr>
          <w:rFonts w:ascii="Times New Roman" w:hAnsi="Times New Roman"/>
          <w:sz w:val="24"/>
          <w:szCs w:val="24"/>
        </w:rPr>
        <w:t xml:space="preserve">. </w:t>
      </w:r>
      <w:r>
        <w:rPr>
          <w:rFonts w:ascii="Times New Roman" w:hAnsi="Times New Roman"/>
          <w:sz w:val="24"/>
          <w:szCs w:val="24"/>
        </w:rPr>
        <w:t>Bài báo s</w:t>
      </w:r>
      <w:r w:rsidRPr="009264DD">
        <w:rPr>
          <w:rFonts w:ascii="Times New Roman" w:hAnsi="Times New Roman"/>
          <w:sz w:val="24"/>
          <w:szCs w:val="24"/>
        </w:rPr>
        <w:t>ử dụng các phương pháp hồi quy cho dữ liệu bả</w:t>
      </w:r>
      <w:r>
        <w:rPr>
          <w:rFonts w:ascii="Times New Roman" w:hAnsi="Times New Roman"/>
          <w:sz w:val="24"/>
          <w:szCs w:val="24"/>
        </w:rPr>
        <w:t>ng trên mẫu dữ liệu bao gồm 35 ngân hàng thương mại Việt Nam. Kết quả cho thấy, sở hữu nước ngoài càng cao thì rủi ro thanh khoản của ngân hàng càng thấp và ngược lại. Bên cạnh đó, rủi ro tín dụng và rủi ro thanh khoản năm trước có tác động cùng chiều đến rủi ro thanh khoản của ngân hàng trong năm hiện tại. Kết quả của nghiên cứu đã cung cấp thêm bằng chứng thực nghiệm chứng minh vai trò tích cực của các cổ đông nước ngoài đến rủi ro thanh khoản nói chung và hoạt động của các NHTM Việt Nam.</w:t>
      </w:r>
    </w:p>
    <w:p w:rsidR="00433FFF" w:rsidRPr="00117B2D" w:rsidRDefault="00433FFF" w:rsidP="009F2E72">
      <w:pPr>
        <w:spacing w:before="120" w:after="120" w:line="240" w:lineRule="auto"/>
        <w:jc w:val="both"/>
        <w:rPr>
          <w:rFonts w:ascii="Times New Roman" w:hAnsi="Times New Roman" w:cs="Times New Roman"/>
          <w:b/>
          <w:i/>
          <w:color w:val="111111"/>
          <w:sz w:val="24"/>
          <w:szCs w:val="24"/>
          <w:shd w:val="clear" w:color="auto" w:fill="FFFFFF"/>
        </w:rPr>
      </w:pPr>
      <w:r w:rsidRPr="00117B2D">
        <w:rPr>
          <w:rFonts w:ascii="Times New Roman" w:hAnsi="Times New Roman" w:cs="Times New Roman"/>
          <w:b/>
          <w:i/>
          <w:color w:val="111111"/>
          <w:sz w:val="24"/>
          <w:szCs w:val="24"/>
          <w:shd w:val="clear" w:color="auto" w:fill="FFFFFF"/>
        </w:rPr>
        <w:lastRenderedPageBreak/>
        <w:t>5.2</w:t>
      </w:r>
      <w:r>
        <w:rPr>
          <w:rFonts w:ascii="Times New Roman" w:hAnsi="Times New Roman" w:cs="Times New Roman"/>
          <w:b/>
          <w:i/>
          <w:color w:val="111111"/>
          <w:sz w:val="24"/>
          <w:szCs w:val="24"/>
          <w:shd w:val="clear" w:color="auto" w:fill="FFFFFF"/>
        </w:rPr>
        <w:t>.</w:t>
      </w:r>
      <w:r w:rsidRPr="00117B2D">
        <w:rPr>
          <w:rFonts w:ascii="Times New Roman" w:hAnsi="Times New Roman" w:cs="Times New Roman"/>
          <w:b/>
          <w:i/>
          <w:color w:val="111111"/>
          <w:sz w:val="24"/>
          <w:szCs w:val="24"/>
          <w:shd w:val="clear" w:color="auto" w:fill="FFFFFF"/>
        </w:rPr>
        <w:t xml:space="preserve"> Gợi ý</w:t>
      </w:r>
      <w:r w:rsidRPr="00A7320A">
        <w:rPr>
          <w:rFonts w:ascii="Times New Roman" w:hAnsi="Times New Roman" w:cs="Times New Roman"/>
          <w:b/>
          <w:i/>
          <w:color w:val="111111"/>
          <w:sz w:val="24"/>
          <w:szCs w:val="24"/>
          <w:shd w:val="clear" w:color="auto" w:fill="FFFFFF"/>
        </w:rPr>
        <w:t xml:space="preserve"> chính sách: </w:t>
      </w:r>
    </w:p>
    <w:p w:rsidR="00433FFF" w:rsidRDefault="00433FFF" w:rsidP="009F2E72">
      <w:pPr>
        <w:spacing w:before="120" w:after="12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ab/>
        <w:t>Nghiên cứu có một số hàm ý đối với các cơ quan quản lý về vấn đề sở hữu nước ngoài trong ngân hàng thương mại: từ kết quả nghiên cứu và thực tiễn nền kinh tế Việt Nam bài báo cho rằng tăng tỷ lệ sở hữu nước ngoài trong các TCTD Việt Nam hoàn toàn có cơ sở trong giai đoạn hiện nay. Tuy nhiên, Ngân hàng nhà nước cần tham mưu cho Chính phủ lộ trình cụ thể đối với từng nhóm đối tượng TCTD.</w:t>
      </w:r>
    </w:p>
    <w:p w:rsidR="00433FFF" w:rsidRDefault="00433FFF" w:rsidP="009F2E72">
      <w:pPr>
        <w:spacing w:before="120" w:after="120" w:line="240" w:lineRule="auto"/>
        <w:ind w:firstLine="720"/>
        <w:jc w:val="both"/>
        <w:rPr>
          <w:rFonts w:ascii="Times New Roman" w:hAnsi="Times New Roman" w:cs="Times New Roman"/>
          <w:color w:val="111111"/>
          <w:sz w:val="24"/>
          <w:szCs w:val="24"/>
          <w:shd w:val="clear" w:color="auto" w:fill="FFFFFF"/>
        </w:rPr>
      </w:pPr>
      <w:r w:rsidRPr="00295B01">
        <w:rPr>
          <w:rFonts w:ascii="Times New Roman" w:hAnsi="Times New Roman" w:cs="Times New Roman"/>
          <w:i/>
          <w:color w:val="111111"/>
          <w:sz w:val="24"/>
          <w:szCs w:val="24"/>
          <w:shd w:val="clear" w:color="auto" w:fill="FFFFFF"/>
        </w:rPr>
        <w:t>Với nhóm các ngân hàng được coi là yếu kém</w:t>
      </w:r>
      <w:r w:rsidRPr="00295B01">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tỷ lệ sở hữu nước ngoài có thể xem xét nâng mức trần tối đa lên 100%. Bởi lẽ, các ngân hàng yếu kém là những ngân hàng hoạt động không hiệu quả, cần phải tái cấu trúc toàn diện. Tuy nhiên, nhóm các ngân hàng này không đủ nguồn lực để tự tái cơ cấu cũng như rất khó tìm được đối tác chiến lược để góp vốn, đầu tư công nghệ và phương pháp quản trị tiên tiến. Mức sở hữu trần tối đa 100% sẽ tạo được sự hấp dẫn các nhà đầu tư nước ngoài tham gia góp vốn để tái cấu trúc khối ngân hàng yếu kém, giúp các ngân hàng yếu kém tránh được nguy cơ phá sản. Điều này cũng phù hợp lới luật các tổ chức tín dụng 2010 và định hướng tái cấu trúc hệ thống ngân hàng giai đoạn 2015-2020 của Chính phủ.</w:t>
      </w:r>
    </w:p>
    <w:p w:rsidR="00433FFF" w:rsidRDefault="00433FFF" w:rsidP="009F2E72">
      <w:pPr>
        <w:spacing w:before="120" w:after="120" w:line="240" w:lineRule="auto"/>
        <w:ind w:firstLine="720"/>
        <w:jc w:val="both"/>
        <w:rPr>
          <w:rFonts w:ascii="Times New Roman" w:hAnsi="Times New Roman" w:cs="Times New Roman"/>
          <w:color w:val="111111"/>
          <w:sz w:val="24"/>
          <w:szCs w:val="24"/>
          <w:shd w:val="clear" w:color="auto" w:fill="FFFFFF"/>
        </w:rPr>
      </w:pPr>
      <w:r w:rsidRPr="00295B01">
        <w:rPr>
          <w:rFonts w:ascii="Times New Roman" w:hAnsi="Times New Roman" w:cs="Times New Roman"/>
          <w:i/>
          <w:color w:val="111111"/>
          <w:sz w:val="24"/>
          <w:szCs w:val="24"/>
          <w:shd w:val="clear" w:color="auto" w:fill="FFFFFF"/>
        </w:rPr>
        <w:t>Với các tổ chức tín dụng hoạt động bình thường,</w:t>
      </w:r>
      <w:r>
        <w:rPr>
          <w:rFonts w:ascii="Times New Roman" w:hAnsi="Times New Roman" w:cs="Times New Roman"/>
          <w:color w:val="111111"/>
          <w:sz w:val="24"/>
          <w:szCs w:val="24"/>
          <w:shd w:val="clear" w:color="auto" w:fill="FFFFFF"/>
        </w:rPr>
        <w:t xml:space="preserve"> mức trần sở hữu nước ngoài nên cân nhắc một tỷ lệ hợp lý để có thể hài hòa giữa mục tiêu kinh tế và mục tiêu chính trị. Mục tiêu kinh tế là tranh thủ nguồn vốn nước ngoài để hỗ trợ các ngân hàng Việt Nam đầu tư công nghệ hiện đại, đào tạo nguồn nhân lực chất lượng cao, nâng cao năng lực cạnh tranh, tăng vốn điều lệ để đáp ứng chuẩn Basel II theo đúng lộ trình. Mục tiêu chính trị là nhà nước cần phải đảm bảo được quyền kiểm soát được ngành ngân hàng để tạo được sự tự chủ cho nền kinh tế, tránh bị thâu tóm, chi phối trên thị trường tài chính. Vì vậy, tỷ lệ sở hữu nước ngoài trong nhóm các tổ chức tín dụng này có thể xem xét nâng mức trần lên 49% trong giai đoạn hiện nay. Riêng các ngân hàng thương mại nhà nước, những ngân hàng đóng vai trò dẫn dắt thị trường, nhà nước cần đảm bảo được mức độ sở hữu đủ để chi phối hoạt động. </w:t>
      </w:r>
    </w:p>
    <w:p w:rsidR="00433FFF" w:rsidRDefault="00433FFF" w:rsidP="009F2E72">
      <w:pPr>
        <w:pStyle w:val="EndNoteBibliography"/>
        <w:spacing w:before="120" w:after="120"/>
        <w:ind w:firstLine="720"/>
        <w:rPr>
          <w:rFonts w:ascii="Times New Roman" w:hAnsi="Times New Roman" w:cs="Times New Roman"/>
          <w:noProof w:val="0"/>
          <w:sz w:val="24"/>
          <w:szCs w:val="24"/>
        </w:rPr>
      </w:pPr>
      <w:r>
        <w:rPr>
          <w:rFonts w:ascii="Times New Roman" w:hAnsi="Times New Roman" w:cs="Times New Roman"/>
          <w:color w:val="111111"/>
          <w:sz w:val="24"/>
          <w:szCs w:val="24"/>
          <w:shd w:val="clear" w:color="auto" w:fill="FFFFFF"/>
        </w:rPr>
        <w:t>Về vấn đề quản lý hoạt động ngân hàng, nhà nước cần x</w:t>
      </w:r>
      <w:r>
        <w:rPr>
          <w:rFonts w:ascii="Times New Roman" w:hAnsi="Times New Roman" w:cs="Times New Roman"/>
          <w:noProof w:val="0"/>
          <w:sz w:val="24"/>
          <w:szCs w:val="24"/>
        </w:rPr>
        <w:t>ây dựng hệ thống pháp luật phù hợp để hỗ trợ các tổ chức tín dụng quản lý và thu hồi nợ được thuận lợi hơn. Ngoài ra, kết quả nghiên cứu đã cho thấy rủi ro thanh khoản và rủi ro tín dụng năm trước có tác động cùng chiều với rủi ro thanh khoản năm hiện tại. Vì vậy, NHNN cần có chính sách quản lý tăng trưởng tín dụng hợp lý cho từng ngân hàng trong từng điều kiện cụ thể. Nâng cao chất lượng công tác Thanh tra – Giám sát ngân hàng để đảm bảo minh bạch hơn trong hoạt động ngân hàng.</w:t>
      </w:r>
    </w:p>
    <w:p w:rsidR="00433FFF" w:rsidRPr="00872673" w:rsidRDefault="00433FFF" w:rsidP="009F2E72">
      <w:pPr>
        <w:pStyle w:val="EndNoteBibliography"/>
        <w:spacing w:before="120" w:after="120"/>
        <w:ind w:firstLine="720"/>
        <w:rPr>
          <w:rFonts w:ascii="Times New Roman" w:hAnsi="Times New Roman" w:cs="Times New Roman"/>
          <w:noProof w:val="0"/>
          <w:sz w:val="24"/>
          <w:szCs w:val="24"/>
        </w:rPr>
      </w:pPr>
      <w:r>
        <w:rPr>
          <w:rFonts w:ascii="Times New Roman" w:hAnsi="Times New Roman" w:cs="Times New Roman"/>
          <w:color w:val="111111"/>
          <w:sz w:val="24"/>
          <w:szCs w:val="24"/>
          <w:shd w:val="clear" w:color="auto" w:fill="FFFFFF"/>
        </w:rPr>
        <w:t>Bên cạnh một số khuyến nghị chính sách đối với cơ quan quản lý, bài báo còn có một số khuyến nghị với các ngân hàng thương mại. Mặc dù kết quả bài báo chưa đủ bằng chứng để kết luận ảnh hưởng của rủi ro tín dụng lên rủi ro thanh khoản của ngân hàng, bài báo đã chỉ ra rằng rủi ro tín dụng và rủi ro thanh khoản năm trước có tác động làm tăng rủi ro thanh khoản của ngân hàng năm hiện tại. Vì vậy, các ngân hàng thương mại cần có chính sách quản trị thanh khoản phù hợp để có thể duy trì một giới hạn thanh khoản an toàn, có đối sách ứng phó kịp thời khi ngân hàng đối mặt với sự thiếu hụt thanh khoản đột ngột. Bên cạnh đó, các ngân hàng thương mại cũng cần quan tâm đến các chính sách phòng ngừa rủi ro tín dụng bằng cách nâng cao năng lực thẩm định tín dụng; quản lý chặt chẽ các khoản cho vay; phòng ngừa và hạn chế rủi ro đạo đức; hoàn nhập kịp thời các khoản lãi dự thu đúng quy định; trích lập đúng và đủ các khoản dự phòng để phòng ngừa nguy cơ không thu hồi đủ các khoản cho vay; tăng tỷ trọng thu nhập phi tín dụng (dịch vụ ngân hàng) và giảm tỷ trọng thu nhập từ tín dụng trong cấu phần doanh thu của ngân hàng.</w:t>
      </w:r>
    </w:p>
    <w:p w:rsidR="00433FFF" w:rsidRPr="000C633F" w:rsidRDefault="00433FFF" w:rsidP="009F2E72">
      <w:pPr>
        <w:spacing w:before="120" w:after="120" w:line="240" w:lineRule="auto"/>
        <w:jc w:val="both"/>
        <w:rPr>
          <w:rFonts w:ascii="Times New Roman" w:hAnsi="Times New Roman" w:cs="Times New Roman"/>
          <w:sz w:val="24"/>
          <w:szCs w:val="24"/>
          <w:shd w:val="clear" w:color="auto" w:fill="FFFFFF"/>
        </w:rPr>
      </w:pPr>
      <w:r w:rsidRPr="000C633F">
        <w:rPr>
          <w:rFonts w:ascii="Times New Roman" w:hAnsi="Times New Roman" w:cs="Times New Roman"/>
          <w:sz w:val="24"/>
          <w:szCs w:val="24"/>
          <w:shd w:val="clear" w:color="auto" w:fill="FFFFFF"/>
        </w:rPr>
        <w:lastRenderedPageBreak/>
        <w:tab/>
      </w:r>
      <w:r>
        <w:rPr>
          <w:rFonts w:ascii="Times New Roman" w:hAnsi="Times New Roman" w:cs="Times New Roman"/>
          <w:sz w:val="24"/>
          <w:szCs w:val="24"/>
          <w:shd w:val="clear" w:color="auto" w:fill="FFFFFF"/>
        </w:rPr>
        <w:t>Cuối cùng, k</w:t>
      </w:r>
      <w:r w:rsidRPr="000C633F">
        <w:rPr>
          <w:rFonts w:ascii="Times New Roman" w:hAnsi="Times New Roman" w:cs="Times New Roman"/>
          <w:sz w:val="24"/>
          <w:szCs w:val="24"/>
          <w:shd w:val="clear" w:color="auto" w:fill="FFFFFF"/>
        </w:rPr>
        <w:t xml:space="preserve">ết quả bài báo cũng cho thấy quy mô ngân hàng có tác động ngược chiều đến rủi ro thanh khoản của ngân hàng. Vì vậy, các NHTM cần có những bước đi cụ thể, vững chắc để mở rộng quy mô tổng tài sản. Khi quy mô tổng tài sản càng lớn thì vị thế thanh khoản của ngân hàng càng cao và rủi ro thanh khoản của ngân hàng sẽ giảm xuống.             </w:t>
      </w:r>
    </w:p>
    <w:p w:rsidR="00433FFF" w:rsidRDefault="00433FFF" w:rsidP="009F2E72">
      <w:pPr>
        <w:spacing w:before="120"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49060D" wp14:editId="7A7A026D">
                <wp:simplePos x="0" y="0"/>
                <wp:positionH relativeFrom="column">
                  <wp:posOffset>93400</wp:posOffset>
                </wp:positionH>
                <wp:positionV relativeFrom="paragraph">
                  <wp:posOffset>77525</wp:posOffset>
                </wp:positionV>
                <wp:extent cx="205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689F58D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6.1pt" to="169.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" strokecolor="#4579b8 [3044]"/>
            </w:pict>
          </mc:Fallback>
        </mc:AlternateContent>
      </w:r>
    </w:p>
    <w:p w:rsidR="00433FFF" w:rsidRPr="00BE55B2" w:rsidRDefault="00433FFF" w:rsidP="009F2E72">
      <w:pPr>
        <w:pStyle w:val="FootnoteText"/>
        <w:spacing w:before="120" w:after="120"/>
        <w:jc w:val="both"/>
        <w:rPr>
          <w:rFonts w:ascii="Times New Roman" w:hAnsi="Times New Roman" w:cs="Times New Roman"/>
          <w:b/>
        </w:rPr>
      </w:pPr>
      <w:r w:rsidRPr="00433FFF">
        <w:rPr>
          <w:rFonts w:ascii="Times New Roman" w:hAnsi="Times New Roman" w:cs="Times New Roman"/>
          <w:sz w:val="24"/>
          <w:szCs w:val="24"/>
          <w:vertAlign w:val="superscript"/>
        </w:rPr>
        <w:t>1</w:t>
      </w:r>
      <w:r>
        <w:rPr>
          <w:rFonts w:ascii="Times New Roman" w:hAnsi="Times New Roman" w:cs="Times New Roman"/>
        </w:rPr>
        <w:t xml:space="preserve"> </w:t>
      </w:r>
      <w:r w:rsidRPr="00894AEA">
        <w:rPr>
          <w:rFonts w:ascii="Times New Roman" w:hAnsi="Times New Roman" w:cs="Times New Roman"/>
          <w:b/>
        </w:rPr>
        <w:t>Năm 2005</w:t>
      </w:r>
      <w:r w:rsidRPr="00BE55B2">
        <w:rPr>
          <w:rFonts w:ascii="Times New Roman" w:hAnsi="Times New Roman" w:cs="Times New Roman"/>
        </w:rPr>
        <w:t>: Sacombank bán 15% cổ</w:t>
      </w:r>
      <w:r>
        <w:rPr>
          <w:rFonts w:ascii="Times New Roman" w:hAnsi="Times New Roman" w:cs="Times New Roman"/>
        </w:rPr>
        <w:t xml:space="preserve"> phầ</w:t>
      </w:r>
      <w:r w:rsidRPr="00BE55B2">
        <w:rPr>
          <w:rFonts w:ascii="Times New Roman" w:hAnsi="Times New Roman" w:cs="Times New Roman"/>
        </w:rPr>
        <w:t xml:space="preserve">n (tương đương 27 triệu USD) cho ANZ, ACB bán 15% cổ phần (tương đương 161,3 triệu USD) cho Standard Chartered, Techcombank bán 20% cổ phần (tương đương 128,1 triệu USD ) cho HSBC. </w:t>
      </w:r>
      <w:r w:rsidRPr="00894AEA">
        <w:rPr>
          <w:rFonts w:ascii="Times New Roman" w:hAnsi="Times New Roman" w:cs="Times New Roman"/>
          <w:b/>
        </w:rPr>
        <w:t>Năm 2006</w:t>
      </w:r>
      <w:r w:rsidRPr="00BE55B2">
        <w:rPr>
          <w:rFonts w:ascii="Times New Roman" w:hAnsi="Times New Roman" w:cs="Times New Roman"/>
        </w:rPr>
        <w:t xml:space="preserve">: OCBC mua 14,9% cổ phần (tương đương 41,2 triệu USD) của VPBank, BNP Paribas mua 15% cổ phần ngân hàng Phương Đông. </w:t>
      </w:r>
      <w:r w:rsidRPr="00894AEA">
        <w:rPr>
          <w:rFonts w:ascii="Times New Roman" w:hAnsi="Times New Roman" w:cs="Times New Roman"/>
          <w:b/>
        </w:rPr>
        <w:t>Năm 2007</w:t>
      </w:r>
      <w:r w:rsidRPr="00BE55B2">
        <w:rPr>
          <w:rFonts w:ascii="Times New Roman" w:hAnsi="Times New Roman" w:cs="Times New Roman"/>
        </w:rPr>
        <w:t xml:space="preserve">: Citibank mua 10% cổ phần (tương đương 12,3 triệu USD) của DongA Bank, UOB mua 15% cổ phần (45,6 triệu USD) của ngân hàng Phương Nam, Deutsche Bank mua 10% cổ phần (42 triệu USD) của Habubank, SMBC mua 15% cổ phần (tương đương 225 triệu USD) của Eximbank. Năm </w:t>
      </w:r>
      <w:r w:rsidRPr="00894AEA">
        <w:rPr>
          <w:rFonts w:ascii="Times New Roman" w:hAnsi="Times New Roman" w:cs="Times New Roman"/>
          <w:b/>
        </w:rPr>
        <w:t>2008</w:t>
      </w:r>
      <w:r w:rsidRPr="00BE55B2">
        <w:rPr>
          <w:rFonts w:ascii="Times New Roman" w:hAnsi="Times New Roman" w:cs="Times New Roman"/>
        </w:rPr>
        <w:t xml:space="preserve">: Maybank mua 15% cổ phần (135,2 triệu USD) của ABBank, Societe Generale mua 15% cổ phần của SeaBank. </w:t>
      </w:r>
      <w:r w:rsidRPr="00894AEA">
        <w:rPr>
          <w:rFonts w:ascii="Times New Roman" w:hAnsi="Times New Roman" w:cs="Times New Roman"/>
          <w:b/>
        </w:rPr>
        <w:t>Năm 2009</w:t>
      </w:r>
      <w:r w:rsidRPr="00BE55B2">
        <w:rPr>
          <w:rFonts w:ascii="Times New Roman" w:hAnsi="Times New Roman" w:cs="Times New Roman"/>
        </w:rPr>
        <w:t xml:space="preserve">: SBI Holdings  mua 20% TiênPhong Bank. </w:t>
      </w:r>
      <w:r w:rsidRPr="00894AEA">
        <w:rPr>
          <w:rFonts w:ascii="Times New Roman" w:hAnsi="Times New Roman" w:cs="Times New Roman"/>
          <w:b/>
        </w:rPr>
        <w:t>Năm 2010</w:t>
      </w:r>
      <w:r w:rsidRPr="00BE55B2">
        <w:rPr>
          <w:rFonts w:ascii="Times New Roman" w:hAnsi="Times New Roman" w:cs="Times New Roman"/>
        </w:rPr>
        <w:t xml:space="preserve">: Commonwealth Bank of Australia mua 15% cổ phần (600 tỷ VNĐ) của ngân hàng VIBbank. </w:t>
      </w:r>
      <w:r w:rsidRPr="00894AEA">
        <w:rPr>
          <w:rFonts w:ascii="Times New Roman" w:hAnsi="Times New Roman" w:cs="Times New Roman"/>
          <w:b/>
        </w:rPr>
        <w:t>Năm 2011</w:t>
      </w:r>
      <w:r w:rsidRPr="00BE55B2">
        <w:rPr>
          <w:rFonts w:ascii="Times New Roman" w:hAnsi="Times New Roman" w:cs="Times New Roman"/>
        </w:rPr>
        <w:t>: IFC mua 10%</w:t>
      </w:r>
      <w:r>
        <w:rPr>
          <w:rFonts w:ascii="Times New Roman" w:hAnsi="Times New Roman" w:cs="Times New Roman"/>
        </w:rPr>
        <w:t xml:space="preserve"> cổ phần Vietinbank, Mizuho bank mua 15% cổ phần Vietcombank, </w:t>
      </w:r>
      <w:r w:rsidRPr="00BE55B2">
        <w:rPr>
          <w:rFonts w:ascii="Times New Roman" w:hAnsi="Times New Roman" w:cs="Times New Roman"/>
        </w:rPr>
        <w:t xml:space="preserve">Commonwealth Bank of Australia mua </w:t>
      </w:r>
      <w:r>
        <w:rPr>
          <w:rFonts w:ascii="Times New Roman" w:hAnsi="Times New Roman" w:cs="Times New Roman"/>
        </w:rPr>
        <w:t xml:space="preserve">thêm </w:t>
      </w:r>
      <w:r w:rsidRPr="00BE55B2">
        <w:rPr>
          <w:rFonts w:ascii="Times New Roman" w:hAnsi="Times New Roman" w:cs="Times New Roman"/>
        </w:rPr>
        <w:t>5% cổ phần VIBbank</w:t>
      </w:r>
      <w:r>
        <w:rPr>
          <w:rFonts w:ascii="Times New Roman" w:hAnsi="Times New Roman" w:cs="Times New Roman"/>
        </w:rPr>
        <w:t xml:space="preserve"> </w:t>
      </w:r>
      <w:r w:rsidRPr="00BE55B2">
        <w:rPr>
          <w:rFonts w:ascii="Times New Roman" w:hAnsi="Times New Roman" w:cs="Times New Roman"/>
          <w:b/>
        </w:rPr>
        <w:t>(Nguồn: Theo báo cáo thường niên của các ngân hàng liên quan).</w:t>
      </w:r>
    </w:p>
    <w:p w:rsidR="00433FFF" w:rsidRDefault="00433FFF" w:rsidP="009F2E72">
      <w:pPr>
        <w:pStyle w:val="FootnoteText"/>
        <w:spacing w:before="120" w:after="120"/>
        <w:jc w:val="both"/>
        <w:rPr>
          <w:rFonts w:ascii="Times New Roman" w:hAnsi="Times New Roman" w:cs="Times New Roman"/>
        </w:rPr>
      </w:pPr>
      <w:r>
        <w:rPr>
          <w:vertAlign w:val="superscript"/>
        </w:rPr>
        <w:t xml:space="preserve">2 </w:t>
      </w:r>
      <w:hyperlink r:id="rId12" w:history="1">
        <w:r w:rsidRPr="00E33A7C">
          <w:rPr>
            <w:rStyle w:val="Hyperlink"/>
            <w:rFonts w:ascii="Times New Roman" w:hAnsi="Times New Roman" w:cs="Times New Roman"/>
          </w:rPr>
          <w:t>http://cafef.vn/noi-room-ngoai-moi-giai-bai-toan-tai-co-cau-20160919083242775.chn</w:t>
        </w:r>
      </w:hyperlink>
    </w:p>
    <w:p w:rsidR="00433FFF" w:rsidRDefault="00433FFF" w:rsidP="009F2E72">
      <w:pPr>
        <w:pStyle w:val="FootnoteText"/>
        <w:spacing w:before="120" w:after="120"/>
        <w:jc w:val="both"/>
        <w:rPr>
          <w:rFonts w:ascii="Times New Roman" w:hAnsi="Times New Roman" w:cs="Times New Roman"/>
        </w:rPr>
      </w:pPr>
      <w:r>
        <w:rPr>
          <w:rFonts w:ascii="Times New Roman" w:hAnsi="Times New Roman" w:cs="Times New Roman"/>
          <w:vertAlign w:val="superscript"/>
        </w:rPr>
        <w:t xml:space="preserve">3 </w:t>
      </w:r>
      <w:r w:rsidRPr="00A57BB4">
        <w:rPr>
          <w:rFonts w:ascii="Times New Roman" w:hAnsi="Times New Roman" w:cs="Times New Roman"/>
        </w:rPr>
        <w:t>Ở điều kiện thanh khoản hệ thống bình thường, các ngân hàng nước ngoài nắm giữ tài sản thanh khoản cao hơn các ngân hàng Việt Nam; khi thanh khoản hệ thống gặp khó khăn, các ngân hàng nước ngoài có xu hướng tăng nắm giữ tài sản thanh khoản</w:t>
      </w:r>
      <w:r>
        <w:rPr>
          <w:rFonts w:ascii="Times New Roman" w:hAnsi="Times New Roman" w:cs="Times New Roman"/>
        </w:rPr>
        <w:t>.</w:t>
      </w:r>
    </w:p>
    <w:p w:rsidR="00433FFF" w:rsidRPr="00433FFF" w:rsidRDefault="00433FFF" w:rsidP="009F2E72">
      <w:pPr>
        <w:pStyle w:val="FootnoteText"/>
        <w:spacing w:before="120" w:after="120"/>
        <w:jc w:val="both"/>
        <w:rPr>
          <w:rFonts w:ascii="Times New Roman" w:hAnsi="Times New Roman" w:cs="Times New Roman"/>
        </w:rPr>
      </w:pPr>
    </w:p>
    <w:p w:rsidR="00433FFF" w:rsidRPr="002549C5" w:rsidRDefault="00433FFF" w:rsidP="009F2E72">
      <w:pPr>
        <w:spacing w:before="120" w:after="120" w:line="240" w:lineRule="auto"/>
        <w:jc w:val="both"/>
        <w:rPr>
          <w:rFonts w:ascii="Times New Roman" w:hAnsi="Times New Roman" w:cs="Times New Roman"/>
          <w:b/>
          <w:sz w:val="24"/>
          <w:szCs w:val="24"/>
        </w:rPr>
      </w:pPr>
      <w:r w:rsidRPr="002549C5">
        <w:rPr>
          <w:rFonts w:ascii="Times New Roman" w:hAnsi="Times New Roman" w:cs="Times New Roman"/>
          <w:b/>
          <w:sz w:val="24"/>
          <w:szCs w:val="24"/>
        </w:rPr>
        <w:t>Tài liệu tham khảo</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 Athanasoglou, P.P., Delis, M.D. &amp; St</w:t>
      </w:r>
      <w:r w:rsidR="001E7A86" w:rsidRPr="00DF40AE">
        <w:rPr>
          <w:rFonts w:ascii="Times New Roman" w:hAnsi="Times New Roman" w:cs="Times New Roman"/>
          <w:sz w:val="24"/>
          <w:szCs w:val="24"/>
        </w:rPr>
        <w:t>aikouras, C.K.</w:t>
      </w:r>
      <w:r w:rsidRPr="00DF40AE">
        <w:rPr>
          <w:rFonts w:ascii="Times New Roman" w:hAnsi="Times New Roman" w:cs="Times New Roman"/>
          <w:sz w:val="24"/>
          <w:szCs w:val="24"/>
        </w:rPr>
        <w:t>, Determinants of bank profitability in the South Eastern European region</w:t>
      </w:r>
      <w:r w:rsidR="001E7A86" w:rsidRPr="00DF40AE">
        <w:rPr>
          <w:rFonts w:ascii="Times New Roman" w:hAnsi="Times New Roman" w:cs="Times New Roman"/>
          <w:sz w:val="24"/>
          <w:szCs w:val="24"/>
        </w:rPr>
        <w:t xml:space="preserve">, Bank of Greece working paper </w:t>
      </w:r>
      <w:r w:rsidRPr="00DF40AE">
        <w:rPr>
          <w:rFonts w:ascii="Times New Roman" w:hAnsi="Times New Roman" w:cs="Times New Roman"/>
          <w:sz w:val="24"/>
          <w:szCs w:val="24"/>
        </w:rPr>
        <w:t>47</w:t>
      </w:r>
      <w:r w:rsidR="00221C08" w:rsidRPr="00DF40AE">
        <w:rPr>
          <w:rFonts w:ascii="Times New Roman" w:hAnsi="Times New Roman" w:cs="Times New Roman"/>
          <w:sz w:val="24"/>
          <w:szCs w:val="24"/>
        </w:rPr>
        <w:t xml:space="preserve"> </w:t>
      </w:r>
      <w:r w:rsidR="001E7A86" w:rsidRPr="00DF40AE">
        <w:rPr>
          <w:rFonts w:ascii="Times New Roman" w:hAnsi="Times New Roman" w:cs="Times New Roman"/>
          <w:sz w:val="24"/>
          <w:szCs w:val="24"/>
        </w:rPr>
        <w:t>(2006)</w:t>
      </w:r>
      <w:r w:rsidRPr="00DF40AE">
        <w:rPr>
          <w:rFonts w:ascii="Times New Roman" w:hAnsi="Times New Roman" w:cs="Times New Roman"/>
          <w:sz w:val="24"/>
          <w:szCs w:val="24"/>
        </w:rPr>
        <w:t>.</w:t>
      </w:r>
    </w:p>
    <w:p w:rsidR="00433FFF" w:rsidRPr="00DF40AE" w:rsidRDefault="00ED0342"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 xml:space="preserve">[2] BIS, </w:t>
      </w:r>
      <w:r w:rsidR="00433FFF" w:rsidRPr="00DF40AE">
        <w:rPr>
          <w:rFonts w:ascii="Times New Roman" w:hAnsi="Times New Roman" w:cs="Times New Roman"/>
          <w:sz w:val="24"/>
          <w:szCs w:val="24"/>
        </w:rPr>
        <w:t>International framework for liquidity risk measure</w:t>
      </w:r>
      <w:r w:rsidRPr="00DF40AE">
        <w:rPr>
          <w:rFonts w:ascii="Times New Roman" w:hAnsi="Times New Roman" w:cs="Times New Roman"/>
          <w:sz w:val="24"/>
          <w:szCs w:val="24"/>
        </w:rPr>
        <w:t>ment, standards and monitoring</w:t>
      </w:r>
      <w:r w:rsidR="001E7A86" w:rsidRPr="00DF40AE">
        <w:rPr>
          <w:rFonts w:ascii="Times New Roman" w:hAnsi="Times New Roman" w:cs="Times New Roman"/>
          <w:sz w:val="24"/>
          <w:szCs w:val="24"/>
        </w:rPr>
        <w:t>, 2009</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[3] Demirgüç-Kunt, A. &amp;</w:t>
      </w:r>
      <w:r w:rsidR="001E7A86" w:rsidRPr="00DF40AE">
        <w:rPr>
          <w:rFonts w:ascii="Times New Roman" w:hAnsi="Times New Roman" w:cs="Times New Roman"/>
          <w:sz w:val="24"/>
          <w:szCs w:val="24"/>
        </w:rPr>
        <w:t xml:space="preserve"> Huizinga, H., </w:t>
      </w:r>
      <w:r w:rsidRPr="00DF40AE">
        <w:rPr>
          <w:rFonts w:ascii="Times New Roman" w:hAnsi="Times New Roman" w:cs="Times New Roman"/>
          <w:sz w:val="24"/>
          <w:szCs w:val="24"/>
        </w:rPr>
        <w:t>Determinants of commercial bank interest margins and profitabili</w:t>
      </w:r>
      <w:r w:rsidR="001E7A86" w:rsidRPr="00DF40AE">
        <w:rPr>
          <w:rFonts w:ascii="Times New Roman" w:hAnsi="Times New Roman" w:cs="Times New Roman"/>
          <w:sz w:val="24"/>
          <w:szCs w:val="24"/>
        </w:rPr>
        <w:t>ty: some international evidence</w:t>
      </w:r>
      <w:r w:rsidRPr="00DF40AE">
        <w:rPr>
          <w:rFonts w:ascii="Times New Roman" w:hAnsi="Times New Roman" w:cs="Times New Roman"/>
          <w:sz w:val="24"/>
          <w:szCs w:val="24"/>
        </w:rPr>
        <w:t>, The World Bank Economic Review</w:t>
      </w:r>
      <w:r w:rsidR="001E7A86" w:rsidRPr="00DF40AE">
        <w:rPr>
          <w:rFonts w:ascii="Times New Roman" w:hAnsi="Times New Roman" w:cs="Times New Roman"/>
          <w:sz w:val="24"/>
          <w:szCs w:val="24"/>
        </w:rPr>
        <w:t xml:space="preserve"> </w:t>
      </w:r>
      <w:r w:rsidRPr="00DF40AE">
        <w:rPr>
          <w:rFonts w:ascii="Times New Roman" w:hAnsi="Times New Roman" w:cs="Times New Roman"/>
          <w:sz w:val="24"/>
          <w:szCs w:val="24"/>
        </w:rPr>
        <w:t>13</w:t>
      </w:r>
      <w:r w:rsidR="001E7A86" w:rsidRPr="00DF40AE">
        <w:rPr>
          <w:rFonts w:ascii="Times New Roman" w:hAnsi="Times New Roman" w:cs="Times New Roman"/>
          <w:sz w:val="24"/>
          <w:szCs w:val="24"/>
        </w:rPr>
        <w:t xml:space="preserve"> (1999)</w:t>
      </w:r>
      <w:r w:rsidRPr="00DF40AE">
        <w:rPr>
          <w:rFonts w:ascii="Times New Roman" w:hAnsi="Times New Roman" w:cs="Times New Roman"/>
          <w:sz w:val="24"/>
          <w:szCs w:val="24"/>
        </w:rPr>
        <w:t xml:space="preserve"> 379</w:t>
      </w:r>
      <w:r w:rsidR="001E7A86"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[4] Demirguc-Kunt, A.,</w:t>
      </w:r>
      <w:r w:rsidR="001E7A86" w:rsidRPr="00DF40AE">
        <w:rPr>
          <w:rFonts w:ascii="Times New Roman" w:hAnsi="Times New Roman" w:cs="Times New Roman"/>
          <w:sz w:val="24"/>
          <w:szCs w:val="24"/>
        </w:rPr>
        <w:t xml:space="preserve"> Levine, R. &amp; Min, H.-G., </w:t>
      </w:r>
      <w:r w:rsidR="00ED61E0" w:rsidRPr="00DF40AE">
        <w:rPr>
          <w:rFonts w:ascii="Times New Roman" w:hAnsi="Times New Roman" w:cs="Times New Roman"/>
          <w:sz w:val="24"/>
          <w:szCs w:val="24"/>
        </w:rPr>
        <w:t xml:space="preserve">Foreign Banks: </w:t>
      </w:r>
      <w:r w:rsidRPr="00DF40AE">
        <w:rPr>
          <w:rFonts w:ascii="Times New Roman" w:hAnsi="Times New Roman" w:cs="Times New Roman"/>
          <w:sz w:val="24"/>
          <w:szCs w:val="24"/>
        </w:rPr>
        <w:t>Effici</w:t>
      </w:r>
      <w:r w:rsidR="001E7A86" w:rsidRPr="00DF40AE">
        <w:rPr>
          <w:rFonts w:ascii="Times New Roman" w:hAnsi="Times New Roman" w:cs="Times New Roman"/>
          <w:sz w:val="24"/>
          <w:szCs w:val="24"/>
        </w:rPr>
        <w:t>ency Stability and Growth</w:t>
      </w:r>
      <w:r w:rsidRPr="00DF40AE">
        <w:rPr>
          <w:rFonts w:ascii="Times New Roman" w:hAnsi="Times New Roman" w:cs="Times New Roman"/>
          <w:sz w:val="24"/>
          <w:szCs w:val="24"/>
        </w:rPr>
        <w:t>, The Implication of Globalization of World</w:t>
      </w:r>
      <w:r w:rsidR="001E7A86" w:rsidRPr="00DF40AE">
        <w:rPr>
          <w:rFonts w:ascii="Times New Roman" w:hAnsi="Times New Roman" w:cs="Times New Roman"/>
          <w:sz w:val="24"/>
          <w:szCs w:val="24"/>
        </w:rPr>
        <w:t xml:space="preserve"> Financial Markets. Seoul, Kore (1998)</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[5] Det</w:t>
      </w:r>
      <w:r w:rsidR="001E7A86" w:rsidRPr="00DF40AE">
        <w:rPr>
          <w:rFonts w:ascii="Times New Roman" w:hAnsi="Times New Roman" w:cs="Times New Roman"/>
          <w:sz w:val="24"/>
          <w:szCs w:val="24"/>
        </w:rPr>
        <w:t xml:space="preserve">ragiache, E. &amp; Gupta, P., </w:t>
      </w:r>
      <w:r w:rsidRPr="00DF40AE">
        <w:rPr>
          <w:rFonts w:ascii="Times New Roman" w:hAnsi="Times New Roman" w:cs="Times New Roman"/>
          <w:sz w:val="24"/>
          <w:szCs w:val="24"/>
        </w:rPr>
        <w:t xml:space="preserve">Foreign banks in emerging market crises: Evidence from Malaysia', IMF Working Paper </w:t>
      </w:r>
      <w:r w:rsidR="00221C08" w:rsidRPr="00DF40AE">
        <w:rPr>
          <w:rFonts w:ascii="Times New Roman" w:hAnsi="Times New Roman" w:cs="Times New Roman"/>
          <w:sz w:val="24"/>
          <w:szCs w:val="24"/>
        </w:rPr>
        <w:t>129 (</w:t>
      </w:r>
      <w:r w:rsidR="001E7A86" w:rsidRPr="00DF40AE">
        <w:rPr>
          <w:rFonts w:ascii="Times New Roman" w:hAnsi="Times New Roman" w:cs="Times New Roman"/>
          <w:sz w:val="24"/>
          <w:szCs w:val="24"/>
        </w:rPr>
        <w:t>2004</w:t>
      </w:r>
      <w:r w:rsidR="00221C08" w:rsidRPr="00DF40AE">
        <w:rPr>
          <w:rFonts w:ascii="Times New Roman" w:hAnsi="Times New Roman" w:cs="Times New Roman"/>
          <w:sz w:val="24"/>
          <w:szCs w:val="24"/>
        </w:rPr>
        <w:t>)</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[6] Diam</w:t>
      </w:r>
      <w:r w:rsidR="00ED61E0" w:rsidRPr="00DF40AE">
        <w:rPr>
          <w:rFonts w:ascii="Times New Roman" w:hAnsi="Times New Roman" w:cs="Times New Roman"/>
          <w:sz w:val="24"/>
          <w:szCs w:val="24"/>
        </w:rPr>
        <w:t xml:space="preserve">ond, D.W. &amp; Dybvig, P.H., </w:t>
      </w:r>
      <w:r w:rsidRPr="00DF40AE">
        <w:rPr>
          <w:rFonts w:ascii="Times New Roman" w:hAnsi="Times New Roman" w:cs="Times New Roman"/>
          <w:sz w:val="24"/>
          <w:szCs w:val="24"/>
        </w:rPr>
        <w:t>Bank runs, d</w:t>
      </w:r>
      <w:r w:rsidR="00ED61E0" w:rsidRPr="00DF40AE">
        <w:rPr>
          <w:rFonts w:ascii="Times New Roman" w:hAnsi="Times New Roman" w:cs="Times New Roman"/>
          <w:sz w:val="24"/>
          <w:szCs w:val="24"/>
        </w:rPr>
        <w:t>eposit insurance, and liquidity</w:t>
      </w:r>
      <w:r w:rsidRPr="00DF40AE">
        <w:rPr>
          <w:rFonts w:ascii="Times New Roman" w:hAnsi="Times New Roman" w:cs="Times New Roman"/>
          <w:sz w:val="24"/>
          <w:szCs w:val="24"/>
        </w:rPr>
        <w:t>, Journal of political economy</w:t>
      </w:r>
      <w:r w:rsidR="00ED61E0" w:rsidRPr="00DF40AE">
        <w:rPr>
          <w:rFonts w:ascii="Times New Roman" w:hAnsi="Times New Roman" w:cs="Times New Roman"/>
          <w:sz w:val="24"/>
          <w:szCs w:val="24"/>
        </w:rPr>
        <w:t xml:space="preserve"> </w:t>
      </w:r>
      <w:r w:rsidR="00221C08" w:rsidRPr="00DF40AE">
        <w:rPr>
          <w:rFonts w:ascii="Times New Roman" w:hAnsi="Times New Roman" w:cs="Times New Roman"/>
          <w:sz w:val="24"/>
          <w:szCs w:val="24"/>
        </w:rPr>
        <w:t>91 (</w:t>
      </w:r>
      <w:r w:rsidR="00ED61E0" w:rsidRPr="00DF40AE">
        <w:rPr>
          <w:rFonts w:ascii="Times New Roman" w:hAnsi="Times New Roman" w:cs="Times New Roman"/>
          <w:sz w:val="24"/>
          <w:szCs w:val="24"/>
        </w:rPr>
        <w:t>1983</w:t>
      </w:r>
      <w:r w:rsidR="00221C08" w:rsidRPr="00DF40AE">
        <w:rPr>
          <w:rFonts w:ascii="Times New Roman" w:hAnsi="Times New Roman" w:cs="Times New Roman"/>
          <w:sz w:val="24"/>
          <w:szCs w:val="24"/>
        </w:rPr>
        <w:t>)</w:t>
      </w:r>
      <w:r w:rsidR="00ED61E0" w:rsidRPr="00DF40AE">
        <w:rPr>
          <w:rFonts w:ascii="Times New Roman" w:hAnsi="Times New Roman" w:cs="Times New Roman"/>
          <w:sz w:val="24"/>
          <w:szCs w:val="24"/>
        </w:rPr>
        <w:t xml:space="preserve"> 401</w:t>
      </w:r>
      <w:r w:rsidRPr="00DF40AE">
        <w:rPr>
          <w:rFonts w:ascii="Times New Roman" w:hAnsi="Times New Roman" w:cs="Times New Roman"/>
          <w:sz w:val="24"/>
          <w:szCs w:val="24"/>
        </w:rPr>
        <w:t>.</w:t>
      </w:r>
    </w:p>
    <w:p w:rsidR="00433FFF" w:rsidRPr="00DF40AE" w:rsidRDefault="00221C08"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[7] Dinger, V.</w:t>
      </w:r>
      <w:r w:rsidR="00ED0342" w:rsidRPr="00DF40AE">
        <w:rPr>
          <w:rFonts w:ascii="Times New Roman" w:hAnsi="Times New Roman" w:cs="Times New Roman"/>
          <w:sz w:val="24"/>
          <w:szCs w:val="24"/>
        </w:rPr>
        <w:t xml:space="preserve">, </w:t>
      </w:r>
      <w:r w:rsidR="00433FFF" w:rsidRPr="00DF40AE">
        <w:rPr>
          <w:rFonts w:ascii="Times New Roman" w:hAnsi="Times New Roman" w:cs="Times New Roman"/>
          <w:sz w:val="24"/>
          <w:szCs w:val="24"/>
        </w:rPr>
        <w:t>Do foreign-owned banks affect</w:t>
      </w:r>
      <w:r w:rsidR="00ED0342" w:rsidRPr="00DF40AE">
        <w:rPr>
          <w:rFonts w:ascii="Times New Roman" w:hAnsi="Times New Roman" w:cs="Times New Roman"/>
          <w:sz w:val="24"/>
          <w:szCs w:val="24"/>
        </w:rPr>
        <w:t xml:space="preserve"> banking system liquidity risk?</w:t>
      </w:r>
      <w:r w:rsidR="00433FFF" w:rsidRPr="00DF40AE">
        <w:rPr>
          <w:rFonts w:ascii="Times New Roman" w:hAnsi="Times New Roman" w:cs="Times New Roman"/>
          <w:sz w:val="24"/>
          <w:szCs w:val="24"/>
        </w:rPr>
        <w:t>, Journal of Comparative Economics</w:t>
      </w:r>
      <w:r w:rsidR="00ED61E0" w:rsidRPr="00DF40AE">
        <w:rPr>
          <w:rFonts w:ascii="Times New Roman" w:hAnsi="Times New Roman" w:cs="Times New Roman"/>
          <w:sz w:val="24"/>
          <w:szCs w:val="24"/>
        </w:rPr>
        <w:t xml:space="preserve"> </w:t>
      </w:r>
      <w:r w:rsidRPr="00DF40AE">
        <w:rPr>
          <w:rFonts w:ascii="Times New Roman" w:hAnsi="Times New Roman" w:cs="Times New Roman"/>
          <w:sz w:val="24"/>
          <w:szCs w:val="24"/>
        </w:rPr>
        <w:t>37 (</w:t>
      </w:r>
      <w:r w:rsidR="00ED61E0" w:rsidRPr="00DF40AE">
        <w:rPr>
          <w:rFonts w:ascii="Times New Roman" w:hAnsi="Times New Roman" w:cs="Times New Roman"/>
          <w:sz w:val="24"/>
          <w:szCs w:val="24"/>
        </w:rPr>
        <w:t>2009</w:t>
      </w:r>
      <w:r w:rsidRPr="00DF40AE">
        <w:rPr>
          <w:rFonts w:ascii="Times New Roman" w:hAnsi="Times New Roman" w:cs="Times New Roman"/>
          <w:sz w:val="24"/>
          <w:szCs w:val="24"/>
        </w:rPr>
        <w:t>)</w:t>
      </w:r>
      <w:r w:rsidR="00433FFF" w:rsidRPr="00DF40AE">
        <w:rPr>
          <w:rFonts w:ascii="Times New Roman" w:hAnsi="Times New Roman" w:cs="Times New Roman"/>
          <w:sz w:val="24"/>
          <w:szCs w:val="24"/>
        </w:rPr>
        <w:t xml:space="preserve"> </w:t>
      </w:r>
      <w:r w:rsidR="00ED61E0" w:rsidRPr="00DF40AE">
        <w:rPr>
          <w:rFonts w:ascii="Times New Roman" w:hAnsi="Times New Roman" w:cs="Times New Roman"/>
          <w:sz w:val="24"/>
          <w:szCs w:val="24"/>
        </w:rPr>
        <w:t>647</w:t>
      </w:r>
      <w:r w:rsidR="00433FFF" w:rsidRPr="00DF40AE">
        <w:rPr>
          <w:rFonts w:ascii="Times New Roman" w:hAnsi="Times New Roman" w:cs="Times New Roman"/>
          <w:sz w:val="24"/>
          <w:szCs w:val="24"/>
        </w:rPr>
        <w:t>.</w:t>
      </w:r>
    </w:p>
    <w:p w:rsidR="00433FFF" w:rsidRPr="00DF40AE" w:rsidRDefault="00221C08"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[8] Duttweiler, R</w:t>
      </w:r>
      <w:r w:rsidR="00433FFF" w:rsidRPr="00DF40AE">
        <w:rPr>
          <w:rFonts w:ascii="Times New Roman" w:hAnsi="Times New Roman" w:cs="Times New Roman"/>
          <w:sz w:val="24"/>
          <w:szCs w:val="24"/>
        </w:rPr>
        <w:t>, Managing Liquidity in Banks, John Wiley &amp; Sons Ltd</w:t>
      </w:r>
      <w:r w:rsidRPr="00DF40AE">
        <w:rPr>
          <w:rFonts w:ascii="Times New Roman" w:hAnsi="Times New Roman" w:cs="Times New Roman"/>
          <w:sz w:val="24"/>
          <w:szCs w:val="24"/>
        </w:rPr>
        <w:t xml:space="preserve"> 2009</w:t>
      </w:r>
      <w:r w:rsidR="00433FFF"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[9] F</w:t>
      </w:r>
      <w:r w:rsidR="00221C08" w:rsidRPr="00DF40AE">
        <w:rPr>
          <w:rFonts w:ascii="Times New Roman" w:hAnsi="Times New Roman" w:cs="Times New Roman"/>
          <w:sz w:val="24"/>
          <w:szCs w:val="24"/>
        </w:rPr>
        <w:t>reixas, X. &amp; Holthausen, C.</w:t>
      </w:r>
      <w:r w:rsidR="00ED0342" w:rsidRPr="00DF40AE">
        <w:rPr>
          <w:rFonts w:ascii="Times New Roman" w:hAnsi="Times New Roman" w:cs="Times New Roman"/>
          <w:sz w:val="24"/>
          <w:szCs w:val="24"/>
        </w:rPr>
        <w:t xml:space="preserve">, </w:t>
      </w:r>
      <w:r w:rsidRPr="00DF40AE">
        <w:rPr>
          <w:rFonts w:ascii="Times New Roman" w:hAnsi="Times New Roman" w:cs="Times New Roman"/>
          <w:sz w:val="24"/>
          <w:szCs w:val="24"/>
        </w:rPr>
        <w:t>Interbank market integrati</w:t>
      </w:r>
      <w:r w:rsidR="00ED0342" w:rsidRPr="00DF40AE">
        <w:rPr>
          <w:rFonts w:ascii="Times New Roman" w:hAnsi="Times New Roman" w:cs="Times New Roman"/>
          <w:sz w:val="24"/>
          <w:szCs w:val="24"/>
        </w:rPr>
        <w:t>on under asymmetric information</w:t>
      </w:r>
      <w:r w:rsidRPr="00DF40AE">
        <w:rPr>
          <w:rFonts w:ascii="Times New Roman" w:hAnsi="Times New Roman" w:cs="Times New Roman"/>
          <w:sz w:val="24"/>
          <w:szCs w:val="24"/>
        </w:rPr>
        <w:t>, Review of Financial Studies</w:t>
      </w:r>
      <w:r w:rsidR="00221C08" w:rsidRPr="00DF40AE">
        <w:rPr>
          <w:rFonts w:ascii="Times New Roman" w:hAnsi="Times New Roman" w:cs="Times New Roman"/>
          <w:sz w:val="24"/>
          <w:szCs w:val="24"/>
        </w:rPr>
        <w:t xml:space="preserve"> 18</w:t>
      </w:r>
      <w:r w:rsidRPr="00DF40AE">
        <w:rPr>
          <w:rFonts w:ascii="Times New Roman" w:hAnsi="Times New Roman" w:cs="Times New Roman"/>
          <w:sz w:val="24"/>
          <w:szCs w:val="24"/>
        </w:rPr>
        <w:t xml:space="preserve"> </w:t>
      </w:r>
      <w:r w:rsidR="00221C08" w:rsidRPr="00DF40AE">
        <w:rPr>
          <w:rFonts w:ascii="Times New Roman" w:hAnsi="Times New Roman" w:cs="Times New Roman"/>
          <w:sz w:val="24"/>
          <w:szCs w:val="24"/>
        </w:rPr>
        <w:t>(2005)</w:t>
      </w:r>
      <w:r w:rsidRPr="00DF40AE">
        <w:rPr>
          <w:rFonts w:ascii="Times New Roman" w:hAnsi="Times New Roman" w:cs="Times New Roman"/>
          <w:sz w:val="24"/>
          <w:szCs w:val="24"/>
        </w:rPr>
        <w:t xml:space="preserve"> </w:t>
      </w:r>
      <w:r w:rsidR="00221C08" w:rsidRPr="00DF40AE">
        <w:rPr>
          <w:rFonts w:ascii="Times New Roman" w:hAnsi="Times New Roman" w:cs="Times New Roman"/>
          <w:sz w:val="24"/>
          <w:szCs w:val="24"/>
        </w:rPr>
        <w:t>459</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lastRenderedPageBreak/>
        <w:t>[10</w:t>
      </w:r>
      <w:r w:rsidR="00221C08" w:rsidRPr="00DF40AE">
        <w:rPr>
          <w:rFonts w:ascii="Times New Roman" w:hAnsi="Times New Roman" w:cs="Times New Roman"/>
          <w:sz w:val="24"/>
          <w:szCs w:val="24"/>
        </w:rPr>
        <w:t>] Goodhart, C. &amp; Schoenmaker, D.</w:t>
      </w:r>
      <w:r w:rsidR="00ED0342" w:rsidRPr="00DF40AE">
        <w:rPr>
          <w:rFonts w:ascii="Times New Roman" w:hAnsi="Times New Roman" w:cs="Times New Roman"/>
          <w:sz w:val="24"/>
          <w:szCs w:val="24"/>
        </w:rPr>
        <w:t xml:space="preserve">, </w:t>
      </w:r>
      <w:r w:rsidRPr="00DF40AE">
        <w:rPr>
          <w:rFonts w:ascii="Times New Roman" w:hAnsi="Times New Roman" w:cs="Times New Roman"/>
          <w:sz w:val="24"/>
          <w:szCs w:val="24"/>
        </w:rPr>
        <w:t>Burden sharin</w:t>
      </w:r>
      <w:r w:rsidR="00ED0342" w:rsidRPr="00DF40AE">
        <w:rPr>
          <w:rFonts w:ascii="Times New Roman" w:hAnsi="Times New Roman" w:cs="Times New Roman"/>
          <w:sz w:val="24"/>
          <w:szCs w:val="24"/>
        </w:rPr>
        <w:t>g in a banking crisis in Europe</w:t>
      </w:r>
      <w:r w:rsidRPr="00DF40AE">
        <w:rPr>
          <w:rFonts w:ascii="Times New Roman" w:hAnsi="Times New Roman" w:cs="Times New Roman"/>
          <w:sz w:val="24"/>
          <w:szCs w:val="24"/>
        </w:rPr>
        <w:t>, Sveriges Riksbank economic review</w:t>
      </w:r>
      <w:r w:rsidR="00221C08" w:rsidRPr="00DF40AE">
        <w:rPr>
          <w:rFonts w:ascii="Times New Roman" w:hAnsi="Times New Roman" w:cs="Times New Roman"/>
          <w:sz w:val="24"/>
          <w:szCs w:val="24"/>
        </w:rPr>
        <w:t>, 2 (2006) 34</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[11</w:t>
      </w:r>
      <w:r w:rsidR="00ED0342" w:rsidRPr="00DF40AE">
        <w:rPr>
          <w:rFonts w:ascii="Times New Roman" w:hAnsi="Times New Roman" w:cs="Times New Roman"/>
          <w:sz w:val="24"/>
          <w:szCs w:val="24"/>
        </w:rPr>
        <w:t xml:space="preserve">] Imbierowicz, B. &amp; Rauch, C., </w:t>
      </w:r>
      <w:r w:rsidRPr="00DF40AE">
        <w:rPr>
          <w:rFonts w:ascii="Times New Roman" w:hAnsi="Times New Roman" w:cs="Times New Roman"/>
          <w:sz w:val="24"/>
          <w:szCs w:val="24"/>
        </w:rPr>
        <w:t>The relationship between liquidit</w:t>
      </w:r>
      <w:r w:rsidR="00ED0342" w:rsidRPr="00DF40AE">
        <w:rPr>
          <w:rFonts w:ascii="Times New Roman" w:hAnsi="Times New Roman" w:cs="Times New Roman"/>
          <w:sz w:val="24"/>
          <w:szCs w:val="24"/>
        </w:rPr>
        <w:t>y risk and credit risk in banks</w:t>
      </w:r>
      <w:r w:rsidRPr="00DF40AE">
        <w:rPr>
          <w:rFonts w:ascii="Times New Roman" w:hAnsi="Times New Roman" w:cs="Times New Roman"/>
          <w:sz w:val="24"/>
          <w:szCs w:val="24"/>
        </w:rPr>
        <w:t xml:space="preserve">, Journal of Banking &amp; Finance 40 </w:t>
      </w:r>
      <w:r w:rsidR="00221C08" w:rsidRPr="00DF40AE">
        <w:rPr>
          <w:rFonts w:ascii="Times New Roman" w:hAnsi="Times New Roman" w:cs="Times New Roman"/>
          <w:sz w:val="24"/>
          <w:szCs w:val="24"/>
        </w:rPr>
        <w:t>(2014)</w:t>
      </w:r>
      <w:r w:rsidRPr="00DF40AE">
        <w:rPr>
          <w:rFonts w:ascii="Times New Roman" w:hAnsi="Times New Roman" w:cs="Times New Roman"/>
          <w:sz w:val="24"/>
          <w:szCs w:val="24"/>
        </w:rPr>
        <w:t xml:space="preserve"> 242</w:t>
      </w:r>
      <w:r w:rsidR="00221C08" w:rsidRPr="00DF40AE">
        <w:rPr>
          <w:rFonts w:ascii="Times New Roman" w:hAnsi="Times New Roman" w:cs="Times New Roman"/>
          <w:sz w:val="24"/>
          <w:szCs w:val="24"/>
        </w:rPr>
        <w:t>.</w:t>
      </w:r>
    </w:p>
    <w:p w:rsidR="00433FFF" w:rsidRPr="00DF40AE" w:rsidRDefault="00221C08"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[12] Laeven, L.</w:t>
      </w:r>
      <w:r w:rsidR="00ED0342" w:rsidRPr="00DF40AE">
        <w:rPr>
          <w:rFonts w:ascii="Times New Roman" w:hAnsi="Times New Roman" w:cs="Times New Roman"/>
          <w:sz w:val="24"/>
          <w:szCs w:val="24"/>
        </w:rPr>
        <w:t xml:space="preserve">, </w:t>
      </w:r>
      <w:r w:rsidR="00433FFF" w:rsidRPr="00DF40AE">
        <w:rPr>
          <w:rFonts w:ascii="Times New Roman" w:hAnsi="Times New Roman" w:cs="Times New Roman"/>
          <w:sz w:val="24"/>
          <w:szCs w:val="24"/>
        </w:rPr>
        <w:t>Risk and</w:t>
      </w:r>
      <w:r w:rsidR="00ED0342" w:rsidRPr="00DF40AE">
        <w:rPr>
          <w:rFonts w:ascii="Times New Roman" w:hAnsi="Times New Roman" w:cs="Times New Roman"/>
          <w:sz w:val="24"/>
          <w:szCs w:val="24"/>
        </w:rPr>
        <w:t xml:space="preserve"> efficiency in East Asian banks</w:t>
      </w:r>
      <w:r w:rsidR="00433FFF" w:rsidRPr="00DF40AE">
        <w:rPr>
          <w:rFonts w:ascii="Times New Roman" w:hAnsi="Times New Roman" w:cs="Times New Roman"/>
          <w:sz w:val="24"/>
          <w:szCs w:val="24"/>
        </w:rPr>
        <w:t>, World Bank</w:t>
      </w:r>
      <w:r w:rsidRPr="00DF40AE">
        <w:rPr>
          <w:rFonts w:ascii="Times New Roman" w:hAnsi="Times New Roman" w:cs="Times New Roman"/>
          <w:sz w:val="24"/>
          <w:szCs w:val="24"/>
        </w:rPr>
        <w:t xml:space="preserve"> Policy Research Working Paper </w:t>
      </w:r>
      <w:r w:rsidR="00433FFF" w:rsidRPr="00DF40AE">
        <w:rPr>
          <w:rFonts w:ascii="Times New Roman" w:hAnsi="Times New Roman" w:cs="Times New Roman"/>
          <w:sz w:val="24"/>
          <w:szCs w:val="24"/>
        </w:rPr>
        <w:t>2255</w:t>
      </w:r>
      <w:r w:rsidRPr="00DF40AE">
        <w:rPr>
          <w:rFonts w:ascii="Times New Roman" w:hAnsi="Times New Roman" w:cs="Times New Roman"/>
          <w:sz w:val="24"/>
          <w:szCs w:val="24"/>
        </w:rPr>
        <w:t xml:space="preserve"> (1999)</w:t>
      </w:r>
      <w:r w:rsidR="00433FFF" w:rsidRPr="00DF40AE">
        <w:rPr>
          <w:rFonts w:ascii="Times New Roman" w:hAnsi="Times New Roman" w:cs="Times New Roman"/>
          <w:sz w:val="24"/>
          <w:szCs w:val="24"/>
        </w:rPr>
        <w:t>.</w:t>
      </w:r>
    </w:p>
    <w:p w:rsidR="00433FFF" w:rsidRPr="00DF40AE" w:rsidRDefault="00221C08"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[13] Lee, S.W.</w:t>
      </w:r>
      <w:r w:rsidR="00433FFF" w:rsidRPr="00DF40AE">
        <w:rPr>
          <w:rFonts w:ascii="Times New Roman" w:hAnsi="Times New Roman" w:cs="Times New Roman"/>
          <w:sz w:val="24"/>
          <w:szCs w:val="24"/>
        </w:rPr>
        <w:t>, 'Ownership structure, regulation, and bank risk-taking: evidence from Korean banking industry', Investment Management and Financial Innovations</w:t>
      </w:r>
      <w:r w:rsidRPr="00DF40AE">
        <w:rPr>
          <w:rFonts w:ascii="Times New Roman" w:hAnsi="Times New Roman" w:cs="Times New Roman"/>
          <w:sz w:val="24"/>
          <w:szCs w:val="24"/>
        </w:rPr>
        <w:t xml:space="preserve"> </w:t>
      </w:r>
      <w:r w:rsidR="00433FFF" w:rsidRPr="00DF40AE">
        <w:rPr>
          <w:rFonts w:ascii="Times New Roman" w:hAnsi="Times New Roman" w:cs="Times New Roman"/>
          <w:sz w:val="24"/>
          <w:szCs w:val="24"/>
        </w:rPr>
        <w:t>5</w:t>
      </w:r>
      <w:r w:rsidRPr="00DF40AE">
        <w:rPr>
          <w:rFonts w:ascii="Times New Roman" w:hAnsi="Times New Roman" w:cs="Times New Roman"/>
          <w:sz w:val="24"/>
          <w:szCs w:val="24"/>
        </w:rPr>
        <w:t xml:space="preserve"> (2008) 70</w:t>
      </w:r>
      <w:r w:rsidR="00433FFF" w:rsidRPr="00DF40AE">
        <w:rPr>
          <w:rFonts w:ascii="Times New Roman" w:hAnsi="Times New Roman" w:cs="Times New Roman"/>
          <w:sz w:val="24"/>
          <w:szCs w:val="24"/>
        </w:rPr>
        <w:t>.</w:t>
      </w:r>
    </w:p>
    <w:p w:rsidR="00433FFF" w:rsidRPr="00DF40AE" w:rsidRDefault="00221C08"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[14] Lucchetta, M.</w:t>
      </w:r>
      <w:r w:rsidR="00ED0342" w:rsidRPr="00DF40AE">
        <w:rPr>
          <w:rFonts w:ascii="Times New Roman" w:hAnsi="Times New Roman" w:cs="Times New Roman"/>
          <w:sz w:val="24"/>
          <w:szCs w:val="24"/>
        </w:rPr>
        <w:t xml:space="preserve">, </w:t>
      </w:r>
      <w:r w:rsidR="00433FFF" w:rsidRPr="00DF40AE">
        <w:rPr>
          <w:rFonts w:ascii="Times New Roman" w:hAnsi="Times New Roman" w:cs="Times New Roman"/>
          <w:sz w:val="24"/>
          <w:szCs w:val="24"/>
        </w:rPr>
        <w:t>What do data say about monetary policy, bank liquidity and bank risk taking?, Economic Notes</w:t>
      </w:r>
      <w:r w:rsidRPr="00DF40AE">
        <w:rPr>
          <w:rFonts w:ascii="Times New Roman" w:hAnsi="Times New Roman" w:cs="Times New Roman"/>
          <w:sz w:val="24"/>
          <w:szCs w:val="24"/>
        </w:rPr>
        <w:t xml:space="preserve"> 36 (2007)</w:t>
      </w:r>
      <w:r w:rsidR="00433FFF" w:rsidRPr="00DF40AE">
        <w:rPr>
          <w:rFonts w:ascii="Times New Roman" w:hAnsi="Times New Roman" w:cs="Times New Roman"/>
          <w:sz w:val="24"/>
          <w:szCs w:val="24"/>
        </w:rPr>
        <w:t xml:space="preserve"> 189.</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[15] Mic</w:t>
      </w:r>
      <w:r w:rsidR="00221C08" w:rsidRPr="00DF40AE">
        <w:rPr>
          <w:rFonts w:ascii="Times New Roman" w:hAnsi="Times New Roman" w:cs="Times New Roman"/>
          <w:sz w:val="24"/>
          <w:szCs w:val="24"/>
        </w:rPr>
        <w:t>co, A., Panizza, U. &amp; Yanez, M.</w:t>
      </w:r>
      <w:r w:rsidR="00ED0342" w:rsidRPr="00DF40AE">
        <w:rPr>
          <w:rFonts w:ascii="Times New Roman" w:hAnsi="Times New Roman" w:cs="Times New Roman"/>
          <w:sz w:val="24"/>
          <w:szCs w:val="24"/>
        </w:rPr>
        <w:t xml:space="preserve">, </w:t>
      </w:r>
      <w:r w:rsidRPr="00DF40AE">
        <w:rPr>
          <w:rFonts w:ascii="Times New Roman" w:hAnsi="Times New Roman" w:cs="Times New Roman"/>
          <w:sz w:val="24"/>
          <w:szCs w:val="24"/>
        </w:rPr>
        <w:t>Bank ownership and per</w:t>
      </w:r>
      <w:r w:rsidR="00ED0342" w:rsidRPr="00DF40AE">
        <w:rPr>
          <w:rFonts w:ascii="Times New Roman" w:hAnsi="Times New Roman" w:cs="Times New Roman"/>
          <w:sz w:val="24"/>
          <w:szCs w:val="24"/>
        </w:rPr>
        <w:t>formance. Does politics matter?</w:t>
      </w:r>
      <w:r w:rsidRPr="00DF40AE">
        <w:rPr>
          <w:rFonts w:ascii="Times New Roman" w:hAnsi="Times New Roman" w:cs="Times New Roman"/>
          <w:sz w:val="24"/>
          <w:szCs w:val="24"/>
        </w:rPr>
        <w:t>, Journal of Banking &amp; Finance</w:t>
      </w:r>
      <w:r w:rsidR="00221C08" w:rsidRPr="00DF40AE">
        <w:rPr>
          <w:rFonts w:ascii="Times New Roman" w:hAnsi="Times New Roman" w:cs="Times New Roman"/>
          <w:sz w:val="24"/>
          <w:szCs w:val="24"/>
        </w:rPr>
        <w:t xml:space="preserve"> </w:t>
      </w:r>
      <w:r w:rsidRPr="00DF40AE">
        <w:rPr>
          <w:rFonts w:ascii="Times New Roman" w:hAnsi="Times New Roman" w:cs="Times New Roman"/>
          <w:sz w:val="24"/>
          <w:szCs w:val="24"/>
        </w:rPr>
        <w:t>31</w:t>
      </w:r>
      <w:r w:rsidR="00221C08" w:rsidRPr="00DF40AE">
        <w:rPr>
          <w:rFonts w:ascii="Times New Roman" w:hAnsi="Times New Roman" w:cs="Times New Roman"/>
          <w:sz w:val="24"/>
          <w:szCs w:val="24"/>
        </w:rPr>
        <w:t xml:space="preserve"> (2007) 219</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[16] Saunders, A.,</w:t>
      </w:r>
      <w:r w:rsidR="00221C08" w:rsidRPr="00DF40AE">
        <w:rPr>
          <w:rFonts w:ascii="Times New Roman" w:hAnsi="Times New Roman" w:cs="Times New Roman"/>
          <w:sz w:val="24"/>
          <w:szCs w:val="24"/>
        </w:rPr>
        <w:t xml:space="preserve"> Strock, E. &amp; Travlos, N.G.</w:t>
      </w:r>
      <w:r w:rsidR="00ED0342" w:rsidRPr="00DF40AE">
        <w:rPr>
          <w:rFonts w:ascii="Times New Roman" w:hAnsi="Times New Roman" w:cs="Times New Roman"/>
          <w:sz w:val="24"/>
          <w:szCs w:val="24"/>
        </w:rPr>
        <w:t xml:space="preserve">, </w:t>
      </w:r>
      <w:r w:rsidRPr="00DF40AE">
        <w:rPr>
          <w:rFonts w:ascii="Times New Roman" w:hAnsi="Times New Roman" w:cs="Times New Roman"/>
          <w:sz w:val="24"/>
          <w:szCs w:val="24"/>
        </w:rPr>
        <w:t>Ownership structure, deregulation, and bank risk taking, the Journal of Finance</w:t>
      </w:r>
      <w:r w:rsidR="00221C08" w:rsidRPr="00DF40AE">
        <w:rPr>
          <w:rFonts w:ascii="Times New Roman" w:hAnsi="Times New Roman" w:cs="Times New Roman"/>
          <w:sz w:val="24"/>
          <w:szCs w:val="24"/>
        </w:rPr>
        <w:t xml:space="preserve"> </w:t>
      </w:r>
      <w:r w:rsidRPr="00DF40AE">
        <w:rPr>
          <w:rFonts w:ascii="Times New Roman" w:hAnsi="Times New Roman" w:cs="Times New Roman"/>
          <w:sz w:val="24"/>
          <w:szCs w:val="24"/>
        </w:rPr>
        <w:t>45</w:t>
      </w:r>
      <w:r w:rsidR="00221C08" w:rsidRPr="00DF40AE">
        <w:rPr>
          <w:rFonts w:ascii="Times New Roman" w:hAnsi="Times New Roman" w:cs="Times New Roman"/>
          <w:sz w:val="24"/>
          <w:szCs w:val="24"/>
        </w:rPr>
        <w:t xml:space="preserve"> (1990) 643</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[17] Schina</w:t>
      </w:r>
      <w:r w:rsidR="00221C08" w:rsidRPr="00DF40AE">
        <w:rPr>
          <w:rFonts w:ascii="Times New Roman" w:hAnsi="Times New Roman" w:cs="Times New Roman"/>
          <w:sz w:val="24"/>
          <w:szCs w:val="24"/>
        </w:rPr>
        <w:t>si, G.J. &amp; Teixeira, P.G.</w:t>
      </w:r>
      <w:r w:rsidRPr="00DF40AE">
        <w:rPr>
          <w:rFonts w:ascii="Times New Roman" w:hAnsi="Times New Roman" w:cs="Times New Roman"/>
          <w:sz w:val="24"/>
          <w:szCs w:val="24"/>
        </w:rPr>
        <w:t>, The lender of last resort in the European single financial market, International Monetary Fund</w:t>
      </w:r>
      <w:r w:rsidR="00DC3708">
        <w:rPr>
          <w:rFonts w:ascii="Times New Roman" w:hAnsi="Times New Roman" w:cs="Times New Roman"/>
          <w:sz w:val="24"/>
          <w:szCs w:val="24"/>
        </w:rPr>
        <w:t xml:space="preserve"> (2006)</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[18] Sch</w:t>
      </w:r>
      <w:r w:rsidR="00221C08" w:rsidRPr="00DF40AE">
        <w:rPr>
          <w:rFonts w:ascii="Times New Roman" w:hAnsi="Times New Roman" w:cs="Times New Roman"/>
          <w:sz w:val="24"/>
          <w:szCs w:val="24"/>
        </w:rPr>
        <w:t>oenmaker, D. &amp; Oosterloo, S.</w:t>
      </w:r>
      <w:r w:rsidR="00ED0342" w:rsidRPr="00DF40AE">
        <w:rPr>
          <w:rFonts w:ascii="Times New Roman" w:hAnsi="Times New Roman" w:cs="Times New Roman"/>
          <w:sz w:val="24"/>
          <w:szCs w:val="24"/>
        </w:rPr>
        <w:t xml:space="preserve">, </w:t>
      </w:r>
      <w:r w:rsidRPr="00DF40AE">
        <w:rPr>
          <w:rFonts w:ascii="Times New Roman" w:hAnsi="Times New Roman" w:cs="Times New Roman"/>
          <w:sz w:val="24"/>
          <w:szCs w:val="24"/>
        </w:rPr>
        <w:t>Crossborder Issues in</w:t>
      </w:r>
      <w:r w:rsidR="00ED0342" w:rsidRPr="00DF40AE">
        <w:rPr>
          <w:rFonts w:ascii="Times New Roman" w:hAnsi="Times New Roman" w:cs="Times New Roman"/>
          <w:sz w:val="24"/>
          <w:szCs w:val="24"/>
        </w:rPr>
        <w:t xml:space="preserve"> European Financial Supervision</w:t>
      </w:r>
      <w:r w:rsidRPr="00DF40AE">
        <w:rPr>
          <w:rFonts w:ascii="Times New Roman" w:hAnsi="Times New Roman" w:cs="Times New Roman"/>
          <w:sz w:val="24"/>
          <w:szCs w:val="24"/>
        </w:rPr>
        <w:t>, The Structure of Financial Regulation, Routledge, London</w:t>
      </w:r>
      <w:r w:rsidR="00ED0342" w:rsidRPr="00DF40AE">
        <w:rPr>
          <w:rFonts w:ascii="Times New Roman" w:hAnsi="Times New Roman" w:cs="Times New Roman"/>
          <w:sz w:val="24"/>
          <w:szCs w:val="24"/>
        </w:rPr>
        <w:t xml:space="preserve"> </w:t>
      </w:r>
      <w:r w:rsidR="00221C08" w:rsidRPr="00DF40AE">
        <w:rPr>
          <w:rFonts w:ascii="Times New Roman" w:hAnsi="Times New Roman" w:cs="Times New Roman"/>
          <w:sz w:val="24"/>
          <w:szCs w:val="24"/>
        </w:rPr>
        <w:t>(2007)</w:t>
      </w:r>
      <w:r w:rsidRPr="00DF40AE">
        <w:rPr>
          <w:rFonts w:ascii="Times New Roman" w:hAnsi="Times New Roman" w:cs="Times New Roman"/>
          <w:sz w:val="24"/>
          <w:szCs w:val="24"/>
        </w:rPr>
        <w:t xml:space="preserve"> 264.</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[19] Trần Hoàng Ngân &amp; Phạm Quốc Việ</w:t>
      </w:r>
      <w:r w:rsidR="00ED0342" w:rsidRPr="00DF40AE">
        <w:rPr>
          <w:rFonts w:ascii="Times New Roman" w:hAnsi="Times New Roman" w:cs="Times New Roman"/>
          <w:sz w:val="24"/>
          <w:szCs w:val="24"/>
        </w:rPr>
        <w:t xml:space="preserve">t 2016, </w:t>
      </w:r>
      <w:r w:rsidRPr="00DF40AE">
        <w:rPr>
          <w:rFonts w:ascii="Times New Roman" w:hAnsi="Times New Roman" w:cs="Times New Roman"/>
          <w:sz w:val="24"/>
          <w:szCs w:val="24"/>
        </w:rPr>
        <w:t>Mối quan hệ giữa quản trị công ty và thanh khoản của các ngân hàng thương mại Việ</w:t>
      </w:r>
      <w:r w:rsidR="00ED0342" w:rsidRPr="00DF40AE">
        <w:rPr>
          <w:rFonts w:ascii="Times New Roman" w:hAnsi="Times New Roman" w:cs="Times New Roman"/>
          <w:sz w:val="24"/>
          <w:szCs w:val="24"/>
        </w:rPr>
        <w:t>t Nam</w:t>
      </w:r>
      <w:r w:rsidRPr="00DF40AE">
        <w:rPr>
          <w:rFonts w:ascii="Times New Roman" w:hAnsi="Times New Roman" w:cs="Times New Roman"/>
          <w:sz w:val="24"/>
          <w:szCs w:val="24"/>
        </w:rPr>
        <w:t>, Tạp chí Ngân hàng</w:t>
      </w:r>
      <w:r w:rsidR="00221C08" w:rsidRPr="00DF40AE">
        <w:rPr>
          <w:rFonts w:ascii="Times New Roman" w:hAnsi="Times New Roman" w:cs="Times New Roman"/>
          <w:sz w:val="24"/>
          <w:szCs w:val="24"/>
        </w:rPr>
        <w:t xml:space="preserve"> 3+4 (2016) 119</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[20] Võ Xuân Vinh &amp; Mai Xuân Đứ</w:t>
      </w:r>
      <w:r w:rsidR="00ED0342" w:rsidRPr="00DF40AE">
        <w:rPr>
          <w:rFonts w:ascii="Times New Roman" w:hAnsi="Times New Roman" w:cs="Times New Roman"/>
          <w:sz w:val="24"/>
          <w:szCs w:val="24"/>
        </w:rPr>
        <w:t xml:space="preserve">c 2016, </w:t>
      </w:r>
      <w:r w:rsidRPr="00DF40AE">
        <w:rPr>
          <w:rFonts w:ascii="Times New Roman" w:hAnsi="Times New Roman" w:cs="Times New Roman"/>
          <w:sz w:val="24"/>
          <w:szCs w:val="24"/>
        </w:rPr>
        <w:t>Ảnh hưởng của ngân hàng nước ngoài đến rủi ro thanh khoản hệ thống ngân hàng Việ</w:t>
      </w:r>
      <w:r w:rsidR="00ED0342" w:rsidRPr="00DF40AE">
        <w:rPr>
          <w:rFonts w:ascii="Times New Roman" w:hAnsi="Times New Roman" w:cs="Times New Roman"/>
          <w:sz w:val="24"/>
          <w:szCs w:val="24"/>
        </w:rPr>
        <w:t>t Nam</w:t>
      </w:r>
      <w:r w:rsidRPr="00DF40AE">
        <w:rPr>
          <w:rFonts w:ascii="Times New Roman" w:hAnsi="Times New Roman" w:cs="Times New Roman"/>
          <w:sz w:val="24"/>
          <w:szCs w:val="24"/>
        </w:rPr>
        <w:t>, Kỷ yếu hội thảo quốc tế</w:t>
      </w:r>
      <w:r w:rsidR="00DF40AE">
        <w:rPr>
          <w:rFonts w:ascii="Times New Roman" w:hAnsi="Times New Roman" w:cs="Times New Roman"/>
          <w:sz w:val="24"/>
          <w:szCs w:val="24"/>
        </w:rPr>
        <w:t xml:space="preserve">: </w:t>
      </w:r>
      <w:r w:rsidRPr="00DF40AE">
        <w:rPr>
          <w:rFonts w:ascii="Times New Roman" w:hAnsi="Times New Roman" w:cs="Times New Roman"/>
          <w:sz w:val="24"/>
          <w:szCs w:val="24"/>
        </w:rPr>
        <w:t>Phát triển bền vững thị trường tài chính trong bối cảnh hội nhập quốc tế</w:t>
      </w:r>
      <w:r w:rsidR="00ED0342" w:rsidRPr="00DF40AE">
        <w:rPr>
          <w:rFonts w:ascii="Times New Roman" w:hAnsi="Times New Roman" w:cs="Times New Roman"/>
          <w:sz w:val="24"/>
          <w:szCs w:val="24"/>
        </w:rPr>
        <w:t xml:space="preserve"> 1 (2016) 805</w:t>
      </w:r>
      <w:r w:rsidRPr="00DF40AE">
        <w:rPr>
          <w:rFonts w:ascii="Times New Roman" w:hAnsi="Times New Roman" w:cs="Times New Roman"/>
          <w:sz w:val="24"/>
          <w:szCs w:val="24"/>
        </w:rPr>
        <w:t>.</w:t>
      </w:r>
    </w:p>
    <w:p w:rsidR="00433FFF" w:rsidRPr="00DF40AE" w:rsidRDefault="00433FFF" w:rsidP="009F2E72">
      <w:pPr>
        <w:pStyle w:val="EndNoteBibliography"/>
        <w:spacing w:before="120" w:after="120"/>
        <w:ind w:left="720" w:hanging="720"/>
        <w:rPr>
          <w:rFonts w:ascii="Times New Roman" w:hAnsi="Times New Roman" w:cs="Times New Roman"/>
          <w:sz w:val="24"/>
          <w:szCs w:val="24"/>
        </w:rPr>
      </w:pPr>
      <w:r w:rsidRPr="00DF40AE">
        <w:rPr>
          <w:rFonts w:ascii="Times New Roman" w:hAnsi="Times New Roman" w:cs="Times New Roman"/>
          <w:sz w:val="24"/>
          <w:szCs w:val="24"/>
        </w:rPr>
        <w:t>[21]</w:t>
      </w:r>
      <w:r w:rsidR="00DC3708">
        <w:rPr>
          <w:rFonts w:ascii="Times New Roman" w:hAnsi="Times New Roman" w:cs="Times New Roman"/>
          <w:sz w:val="24"/>
          <w:szCs w:val="24"/>
        </w:rPr>
        <w:t xml:space="preserve"> </w:t>
      </w:r>
      <w:r w:rsidRPr="00DF40AE">
        <w:rPr>
          <w:rFonts w:ascii="Times New Roman" w:hAnsi="Times New Roman" w:cs="Times New Roman"/>
          <w:sz w:val="24"/>
          <w:szCs w:val="24"/>
        </w:rPr>
        <w:t>Võ Xuân Vinh &amp; Phạm Hồ</w:t>
      </w:r>
      <w:r w:rsidR="00ED0342" w:rsidRPr="00DF40AE">
        <w:rPr>
          <w:rFonts w:ascii="Times New Roman" w:hAnsi="Times New Roman" w:cs="Times New Roman"/>
          <w:sz w:val="24"/>
          <w:szCs w:val="24"/>
        </w:rPr>
        <w:t xml:space="preserve">ng Vy, </w:t>
      </w:r>
      <w:r w:rsidRPr="00DF40AE">
        <w:rPr>
          <w:rFonts w:ascii="Times New Roman" w:hAnsi="Times New Roman" w:cs="Times New Roman"/>
          <w:sz w:val="24"/>
          <w:szCs w:val="24"/>
        </w:rPr>
        <w:t>Rủi ro thanh khoản và rủi ro tín dụng: Trường hợp các ngân hàng thương mại Việ</w:t>
      </w:r>
      <w:r w:rsidR="00ED0342" w:rsidRPr="00DF40AE">
        <w:rPr>
          <w:rFonts w:ascii="Times New Roman" w:hAnsi="Times New Roman" w:cs="Times New Roman"/>
          <w:sz w:val="24"/>
          <w:szCs w:val="24"/>
        </w:rPr>
        <w:t>t Nam</w:t>
      </w:r>
      <w:r w:rsidRPr="00DF40AE">
        <w:rPr>
          <w:rFonts w:ascii="Times New Roman" w:hAnsi="Times New Roman" w:cs="Times New Roman"/>
          <w:sz w:val="24"/>
          <w:szCs w:val="24"/>
        </w:rPr>
        <w:t>, Tạp chí phát triển kinh tế</w:t>
      </w:r>
      <w:r w:rsidR="00ED0342" w:rsidRPr="00DF40AE">
        <w:rPr>
          <w:rFonts w:ascii="Times New Roman" w:hAnsi="Times New Roman" w:cs="Times New Roman"/>
          <w:sz w:val="24"/>
          <w:szCs w:val="24"/>
        </w:rPr>
        <w:t xml:space="preserve"> </w:t>
      </w:r>
      <w:r w:rsidRPr="00DF40AE">
        <w:rPr>
          <w:rFonts w:ascii="Times New Roman" w:hAnsi="Times New Roman" w:cs="Times New Roman"/>
          <w:sz w:val="24"/>
          <w:szCs w:val="24"/>
        </w:rPr>
        <w:t>28</w:t>
      </w:r>
      <w:r w:rsidR="00ED0342" w:rsidRPr="00DF40AE">
        <w:rPr>
          <w:rFonts w:ascii="Times New Roman" w:hAnsi="Times New Roman" w:cs="Times New Roman"/>
          <w:sz w:val="24"/>
          <w:szCs w:val="24"/>
        </w:rPr>
        <w:t xml:space="preserve"> (2016)</w:t>
      </w:r>
      <w:r w:rsidRPr="00DF40AE">
        <w:rPr>
          <w:rFonts w:ascii="Times New Roman" w:hAnsi="Times New Roman" w:cs="Times New Roman"/>
          <w:sz w:val="24"/>
          <w:szCs w:val="24"/>
        </w:rPr>
        <w:t xml:space="preserve"> 45.</w:t>
      </w:r>
    </w:p>
    <w:p w:rsidR="00433FFF" w:rsidRPr="00DF40AE" w:rsidRDefault="00DC3708" w:rsidP="009F2E72">
      <w:pPr>
        <w:pStyle w:val="EndNoteBibliography"/>
        <w:spacing w:before="120" w:after="120"/>
        <w:ind w:left="720" w:hanging="720"/>
        <w:rPr>
          <w:rFonts w:ascii="Times New Roman" w:hAnsi="Times New Roman" w:cs="Times New Roman"/>
          <w:sz w:val="24"/>
          <w:szCs w:val="24"/>
        </w:rPr>
      </w:pPr>
      <w:r>
        <w:rPr>
          <w:rFonts w:ascii="Times New Roman" w:hAnsi="Times New Roman" w:cs="Times New Roman"/>
          <w:sz w:val="24"/>
          <w:szCs w:val="24"/>
        </w:rPr>
        <w:t xml:space="preserve">[22] </w:t>
      </w:r>
      <w:r w:rsidR="00ED0342" w:rsidRPr="00DF40AE">
        <w:rPr>
          <w:rFonts w:ascii="Times New Roman" w:hAnsi="Times New Roman" w:cs="Times New Roman"/>
          <w:sz w:val="24"/>
          <w:szCs w:val="24"/>
        </w:rPr>
        <w:t xml:space="preserve">Vodova, P., </w:t>
      </w:r>
      <w:r w:rsidR="00433FFF" w:rsidRPr="00DF40AE">
        <w:rPr>
          <w:rFonts w:ascii="Times New Roman" w:hAnsi="Times New Roman" w:cs="Times New Roman"/>
          <w:sz w:val="24"/>
          <w:szCs w:val="24"/>
        </w:rPr>
        <w:t>Liquidity of Czech commer</w:t>
      </w:r>
      <w:r w:rsidR="00ED0342" w:rsidRPr="00DF40AE">
        <w:rPr>
          <w:rFonts w:ascii="Times New Roman" w:hAnsi="Times New Roman" w:cs="Times New Roman"/>
          <w:sz w:val="24"/>
          <w:szCs w:val="24"/>
        </w:rPr>
        <w:t>cial banks and its determinants</w:t>
      </w:r>
      <w:r w:rsidR="00433FFF" w:rsidRPr="00DF40AE">
        <w:rPr>
          <w:rFonts w:ascii="Times New Roman" w:hAnsi="Times New Roman" w:cs="Times New Roman"/>
          <w:sz w:val="24"/>
          <w:szCs w:val="24"/>
        </w:rPr>
        <w:t>, International Journal of Mathematical Models and Methods in Applied Sciences</w:t>
      </w:r>
      <w:r w:rsidR="00ED0342" w:rsidRPr="00DF40AE">
        <w:rPr>
          <w:rFonts w:ascii="Times New Roman" w:hAnsi="Times New Roman" w:cs="Times New Roman"/>
          <w:sz w:val="24"/>
          <w:szCs w:val="24"/>
        </w:rPr>
        <w:t xml:space="preserve"> </w:t>
      </w:r>
      <w:r w:rsidR="00433FFF" w:rsidRPr="00DF40AE">
        <w:rPr>
          <w:rFonts w:ascii="Times New Roman" w:hAnsi="Times New Roman" w:cs="Times New Roman"/>
          <w:sz w:val="24"/>
          <w:szCs w:val="24"/>
        </w:rPr>
        <w:t>5</w:t>
      </w:r>
      <w:r w:rsidR="00ED0342" w:rsidRPr="00DF40AE">
        <w:rPr>
          <w:rFonts w:ascii="Times New Roman" w:hAnsi="Times New Roman" w:cs="Times New Roman"/>
          <w:sz w:val="24"/>
          <w:szCs w:val="24"/>
        </w:rPr>
        <w:t xml:space="preserve"> (2011) 1060</w:t>
      </w:r>
      <w:r w:rsidR="00433FFF" w:rsidRPr="00DF40AE">
        <w:rPr>
          <w:rFonts w:ascii="Times New Roman" w:hAnsi="Times New Roman" w:cs="Times New Roman"/>
          <w:sz w:val="24"/>
          <w:szCs w:val="24"/>
        </w:rPr>
        <w:t>.</w:t>
      </w:r>
    </w:p>
    <w:p w:rsidR="00433FFF" w:rsidRPr="00DF40AE" w:rsidRDefault="00433FFF" w:rsidP="001E7A86">
      <w:pPr>
        <w:spacing w:before="120" w:after="120" w:line="240" w:lineRule="auto"/>
        <w:jc w:val="both"/>
        <w:rPr>
          <w:rFonts w:ascii="Times New Roman" w:hAnsi="Times New Roman" w:cs="Times New Roman"/>
          <w:b/>
          <w:sz w:val="24"/>
          <w:szCs w:val="24"/>
        </w:rPr>
      </w:pPr>
    </w:p>
    <w:p w:rsidR="00FE1CB3" w:rsidRPr="00DF40AE" w:rsidRDefault="00FE1CB3"/>
    <w:sectPr w:rsidR="00FE1CB3" w:rsidRPr="00DF40AE" w:rsidSect="001E7A86">
      <w:pgSz w:w="12240" w:h="15840" w:code="1"/>
      <w:pgMar w:top="1440" w:right="1627" w:bottom="1355"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BB" w:rsidRDefault="003B15BB" w:rsidP="00433FFF">
      <w:pPr>
        <w:spacing w:after="0" w:line="240" w:lineRule="auto"/>
      </w:pPr>
      <w:r>
        <w:separator/>
      </w:r>
    </w:p>
  </w:endnote>
  <w:endnote w:type="continuationSeparator" w:id="0">
    <w:p w:rsidR="003B15BB" w:rsidRDefault="003B15BB" w:rsidP="0043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393593"/>
      <w:docPartObj>
        <w:docPartGallery w:val="Page Numbers (Bottom of Page)"/>
        <w:docPartUnique/>
      </w:docPartObj>
    </w:sdtPr>
    <w:sdtEndPr>
      <w:rPr>
        <w:noProof/>
      </w:rPr>
    </w:sdtEndPr>
    <w:sdtContent>
      <w:p w:rsidR="00C6587C" w:rsidRDefault="00C6587C">
        <w:pPr>
          <w:pStyle w:val="Footer"/>
          <w:jc w:val="center"/>
        </w:pPr>
        <w:r>
          <w:fldChar w:fldCharType="begin"/>
        </w:r>
        <w:r>
          <w:instrText xml:space="preserve"> PAGE   \* MERGEFORMAT </w:instrText>
        </w:r>
        <w:r>
          <w:fldChar w:fldCharType="separate"/>
        </w:r>
        <w:r w:rsidR="00EB17FE">
          <w:rPr>
            <w:noProof/>
          </w:rPr>
          <w:t>1</w:t>
        </w:r>
        <w:r>
          <w:rPr>
            <w:noProof/>
          </w:rPr>
          <w:fldChar w:fldCharType="end"/>
        </w:r>
      </w:p>
    </w:sdtContent>
  </w:sdt>
  <w:p w:rsidR="00C6587C" w:rsidRDefault="00C6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BB" w:rsidRDefault="003B15BB" w:rsidP="00433FFF">
      <w:pPr>
        <w:spacing w:after="0" w:line="240" w:lineRule="auto"/>
      </w:pPr>
      <w:r>
        <w:separator/>
      </w:r>
    </w:p>
  </w:footnote>
  <w:footnote w:type="continuationSeparator" w:id="0">
    <w:p w:rsidR="003B15BB" w:rsidRDefault="003B15BB" w:rsidP="00433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7C" w:rsidRPr="006352BD" w:rsidRDefault="00C6587C">
    <w:pPr>
      <w:pStyle w:val="Header"/>
      <w:jc w:val="center"/>
      <w:rPr>
        <w:rFonts w:ascii="Times New Roman" w:hAnsi="Times New Roman" w:cs="Times New Roman"/>
        <w:sz w:val="26"/>
        <w:szCs w:val="26"/>
      </w:rPr>
    </w:pPr>
  </w:p>
  <w:p w:rsidR="00C6587C" w:rsidRDefault="00C65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D5B"/>
    <w:multiLevelType w:val="hybridMultilevel"/>
    <w:tmpl w:val="DB480A0C"/>
    <w:lvl w:ilvl="0" w:tplc="DF5664D6">
      <w:start w:val="1"/>
      <w:numFmt w:val="lowerLetter"/>
      <w:lvlText w:val="%1."/>
      <w:lvlJc w:val="left"/>
      <w:pPr>
        <w:ind w:left="112" w:hanging="284"/>
        <w:jc w:val="right"/>
      </w:pPr>
      <w:rPr>
        <w:rFonts w:ascii="Times New Roman" w:eastAsia="Times New Roman" w:hAnsi="Times New Roman" w:hint="default"/>
        <w:i/>
        <w:w w:val="100"/>
        <w:sz w:val="22"/>
        <w:szCs w:val="22"/>
      </w:rPr>
    </w:lvl>
    <w:lvl w:ilvl="1" w:tplc="F2A2B594">
      <w:start w:val="1"/>
      <w:numFmt w:val="bullet"/>
      <w:lvlText w:val="•"/>
      <w:lvlJc w:val="left"/>
      <w:pPr>
        <w:ind w:left="468" w:hanging="284"/>
      </w:pPr>
      <w:rPr>
        <w:rFonts w:hint="default"/>
      </w:rPr>
    </w:lvl>
    <w:lvl w:ilvl="2" w:tplc="5F56C322">
      <w:start w:val="1"/>
      <w:numFmt w:val="bullet"/>
      <w:lvlText w:val="•"/>
      <w:lvlJc w:val="left"/>
      <w:pPr>
        <w:ind w:left="817" w:hanging="284"/>
      </w:pPr>
      <w:rPr>
        <w:rFonts w:hint="default"/>
      </w:rPr>
    </w:lvl>
    <w:lvl w:ilvl="3" w:tplc="7D000E78">
      <w:start w:val="1"/>
      <w:numFmt w:val="bullet"/>
      <w:lvlText w:val="•"/>
      <w:lvlJc w:val="left"/>
      <w:pPr>
        <w:ind w:left="1165" w:hanging="284"/>
      </w:pPr>
      <w:rPr>
        <w:rFonts w:hint="default"/>
      </w:rPr>
    </w:lvl>
    <w:lvl w:ilvl="4" w:tplc="4FAE2248">
      <w:start w:val="1"/>
      <w:numFmt w:val="bullet"/>
      <w:lvlText w:val="•"/>
      <w:lvlJc w:val="left"/>
      <w:pPr>
        <w:ind w:left="1514" w:hanging="284"/>
      </w:pPr>
      <w:rPr>
        <w:rFonts w:hint="default"/>
      </w:rPr>
    </w:lvl>
    <w:lvl w:ilvl="5" w:tplc="AA2611BC">
      <w:start w:val="1"/>
      <w:numFmt w:val="bullet"/>
      <w:lvlText w:val="•"/>
      <w:lvlJc w:val="left"/>
      <w:pPr>
        <w:ind w:left="1862" w:hanging="284"/>
      </w:pPr>
      <w:rPr>
        <w:rFonts w:hint="default"/>
      </w:rPr>
    </w:lvl>
    <w:lvl w:ilvl="6" w:tplc="A280A4A8">
      <w:start w:val="1"/>
      <w:numFmt w:val="bullet"/>
      <w:lvlText w:val="•"/>
      <w:lvlJc w:val="left"/>
      <w:pPr>
        <w:ind w:left="2211" w:hanging="284"/>
      </w:pPr>
      <w:rPr>
        <w:rFonts w:hint="default"/>
      </w:rPr>
    </w:lvl>
    <w:lvl w:ilvl="7" w:tplc="44804460">
      <w:start w:val="1"/>
      <w:numFmt w:val="bullet"/>
      <w:lvlText w:val="•"/>
      <w:lvlJc w:val="left"/>
      <w:pPr>
        <w:ind w:left="2559" w:hanging="284"/>
      </w:pPr>
      <w:rPr>
        <w:rFonts w:hint="default"/>
      </w:rPr>
    </w:lvl>
    <w:lvl w:ilvl="8" w:tplc="7ABCFDCA">
      <w:start w:val="1"/>
      <w:numFmt w:val="bullet"/>
      <w:lvlText w:val="•"/>
      <w:lvlJc w:val="left"/>
      <w:pPr>
        <w:ind w:left="2908" w:hanging="284"/>
      </w:pPr>
      <w:rPr>
        <w:rFonts w:hint="default"/>
      </w:rPr>
    </w:lvl>
  </w:abstractNum>
  <w:abstractNum w:abstractNumId="1">
    <w:nsid w:val="0CA53821"/>
    <w:multiLevelType w:val="multilevel"/>
    <w:tmpl w:val="75B04A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16FC730D"/>
    <w:multiLevelType w:val="hybridMultilevel"/>
    <w:tmpl w:val="42868874"/>
    <w:lvl w:ilvl="0" w:tplc="D996C74C">
      <w:start w:val="1"/>
      <w:numFmt w:val="decimal"/>
      <w:lvlText w:val="%1"/>
      <w:lvlJc w:val="left"/>
      <w:pPr>
        <w:ind w:left="720" w:hanging="360"/>
      </w:pPr>
      <w:rPr>
        <w:rFonts w:ascii="Times New Roman" w:eastAsiaTheme="minorEastAsia"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73D53"/>
    <w:multiLevelType w:val="hybridMultilevel"/>
    <w:tmpl w:val="E5FA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16893"/>
    <w:multiLevelType w:val="hybridMultilevel"/>
    <w:tmpl w:val="E9B69A3C"/>
    <w:lvl w:ilvl="0" w:tplc="7A381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264197"/>
    <w:multiLevelType w:val="hybridMultilevel"/>
    <w:tmpl w:val="DB480A0C"/>
    <w:lvl w:ilvl="0" w:tplc="DF5664D6">
      <w:start w:val="1"/>
      <w:numFmt w:val="lowerLetter"/>
      <w:lvlText w:val="%1."/>
      <w:lvlJc w:val="left"/>
      <w:pPr>
        <w:ind w:left="112" w:hanging="284"/>
        <w:jc w:val="right"/>
      </w:pPr>
      <w:rPr>
        <w:rFonts w:ascii="Times New Roman" w:eastAsia="Times New Roman" w:hAnsi="Times New Roman" w:hint="default"/>
        <w:i/>
        <w:w w:val="100"/>
        <w:sz w:val="22"/>
        <w:szCs w:val="22"/>
      </w:rPr>
    </w:lvl>
    <w:lvl w:ilvl="1" w:tplc="F2A2B594">
      <w:start w:val="1"/>
      <w:numFmt w:val="bullet"/>
      <w:lvlText w:val="•"/>
      <w:lvlJc w:val="left"/>
      <w:pPr>
        <w:ind w:left="468" w:hanging="284"/>
      </w:pPr>
      <w:rPr>
        <w:rFonts w:hint="default"/>
      </w:rPr>
    </w:lvl>
    <w:lvl w:ilvl="2" w:tplc="5F56C322">
      <w:start w:val="1"/>
      <w:numFmt w:val="bullet"/>
      <w:lvlText w:val="•"/>
      <w:lvlJc w:val="left"/>
      <w:pPr>
        <w:ind w:left="817" w:hanging="284"/>
      </w:pPr>
      <w:rPr>
        <w:rFonts w:hint="default"/>
      </w:rPr>
    </w:lvl>
    <w:lvl w:ilvl="3" w:tplc="7D000E78">
      <w:start w:val="1"/>
      <w:numFmt w:val="bullet"/>
      <w:lvlText w:val="•"/>
      <w:lvlJc w:val="left"/>
      <w:pPr>
        <w:ind w:left="1165" w:hanging="284"/>
      </w:pPr>
      <w:rPr>
        <w:rFonts w:hint="default"/>
      </w:rPr>
    </w:lvl>
    <w:lvl w:ilvl="4" w:tplc="4FAE2248">
      <w:start w:val="1"/>
      <w:numFmt w:val="bullet"/>
      <w:lvlText w:val="•"/>
      <w:lvlJc w:val="left"/>
      <w:pPr>
        <w:ind w:left="1514" w:hanging="284"/>
      </w:pPr>
      <w:rPr>
        <w:rFonts w:hint="default"/>
      </w:rPr>
    </w:lvl>
    <w:lvl w:ilvl="5" w:tplc="AA2611BC">
      <w:start w:val="1"/>
      <w:numFmt w:val="bullet"/>
      <w:lvlText w:val="•"/>
      <w:lvlJc w:val="left"/>
      <w:pPr>
        <w:ind w:left="1862" w:hanging="284"/>
      </w:pPr>
      <w:rPr>
        <w:rFonts w:hint="default"/>
      </w:rPr>
    </w:lvl>
    <w:lvl w:ilvl="6" w:tplc="A280A4A8">
      <w:start w:val="1"/>
      <w:numFmt w:val="bullet"/>
      <w:lvlText w:val="•"/>
      <w:lvlJc w:val="left"/>
      <w:pPr>
        <w:ind w:left="2211" w:hanging="284"/>
      </w:pPr>
      <w:rPr>
        <w:rFonts w:hint="default"/>
      </w:rPr>
    </w:lvl>
    <w:lvl w:ilvl="7" w:tplc="44804460">
      <w:start w:val="1"/>
      <w:numFmt w:val="bullet"/>
      <w:lvlText w:val="•"/>
      <w:lvlJc w:val="left"/>
      <w:pPr>
        <w:ind w:left="2559" w:hanging="284"/>
      </w:pPr>
      <w:rPr>
        <w:rFonts w:hint="default"/>
      </w:rPr>
    </w:lvl>
    <w:lvl w:ilvl="8" w:tplc="7ABCFDCA">
      <w:start w:val="1"/>
      <w:numFmt w:val="bullet"/>
      <w:lvlText w:val="•"/>
      <w:lvlJc w:val="left"/>
      <w:pPr>
        <w:ind w:left="2908" w:hanging="284"/>
      </w:pPr>
      <w:rPr>
        <w:rFonts w:hint="default"/>
      </w:rPr>
    </w:lvl>
  </w:abstractNum>
  <w:abstractNum w:abstractNumId="6">
    <w:nsid w:val="1FA95201"/>
    <w:multiLevelType w:val="hybridMultilevel"/>
    <w:tmpl w:val="6EFEA2AA"/>
    <w:lvl w:ilvl="0" w:tplc="7A0474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4A5B"/>
    <w:multiLevelType w:val="hybridMultilevel"/>
    <w:tmpl w:val="C66A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E2BA0"/>
    <w:multiLevelType w:val="hybridMultilevel"/>
    <w:tmpl w:val="2D522E72"/>
    <w:lvl w:ilvl="0" w:tplc="783625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3361B"/>
    <w:multiLevelType w:val="hybridMultilevel"/>
    <w:tmpl w:val="06FEAA0A"/>
    <w:lvl w:ilvl="0" w:tplc="53CE5DC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865080"/>
    <w:multiLevelType w:val="hybridMultilevel"/>
    <w:tmpl w:val="1C90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B7899"/>
    <w:multiLevelType w:val="multilevel"/>
    <w:tmpl w:val="4CB068FC"/>
    <w:lvl w:ilvl="0">
      <w:start w:val="1"/>
      <w:numFmt w:val="decimal"/>
      <w:lvlText w:val="%1."/>
      <w:lvlJc w:val="left"/>
      <w:pPr>
        <w:ind w:left="112" w:hanging="221"/>
      </w:pPr>
      <w:rPr>
        <w:rFonts w:ascii="Times New Roman" w:eastAsia="Times New Roman" w:hAnsi="Times New Roman" w:hint="default"/>
        <w:b/>
        <w:bCs/>
        <w:w w:val="100"/>
        <w:sz w:val="22"/>
        <w:szCs w:val="22"/>
      </w:rPr>
    </w:lvl>
    <w:lvl w:ilvl="1">
      <w:start w:val="1"/>
      <w:numFmt w:val="decimal"/>
      <w:lvlText w:val="%1.%2."/>
      <w:lvlJc w:val="left"/>
      <w:pPr>
        <w:ind w:left="8323" w:hanging="403"/>
      </w:pPr>
      <w:rPr>
        <w:rFonts w:ascii="Times New Roman" w:eastAsia="Times New Roman" w:hAnsi="Times New Roman" w:hint="default"/>
        <w:b/>
        <w:bCs/>
        <w:i/>
        <w:w w:val="100"/>
        <w:sz w:val="22"/>
        <w:szCs w:val="22"/>
      </w:rPr>
    </w:lvl>
    <w:lvl w:ilvl="2">
      <w:start w:val="1"/>
      <w:numFmt w:val="bullet"/>
      <w:lvlText w:val=""/>
      <w:lvlJc w:val="left"/>
      <w:pPr>
        <w:ind w:left="1012" w:hanging="360"/>
      </w:pPr>
      <w:rPr>
        <w:rFonts w:ascii="Symbol" w:eastAsia="Symbol" w:hAnsi="Symbol" w:hint="default"/>
        <w:w w:val="100"/>
        <w:sz w:val="22"/>
        <w:szCs w:val="22"/>
      </w:rPr>
    </w:lvl>
    <w:lvl w:ilvl="3">
      <w:start w:val="1"/>
      <w:numFmt w:val="bullet"/>
      <w:lvlText w:val="•"/>
      <w:lvlJc w:val="left"/>
      <w:pPr>
        <w:ind w:left="1020" w:hanging="360"/>
      </w:pPr>
      <w:rPr>
        <w:rFonts w:hint="default"/>
      </w:rPr>
    </w:lvl>
    <w:lvl w:ilvl="4">
      <w:start w:val="1"/>
      <w:numFmt w:val="bullet"/>
      <w:lvlText w:val="•"/>
      <w:lvlJc w:val="left"/>
      <w:pPr>
        <w:ind w:left="321" w:hanging="360"/>
      </w:pPr>
      <w:rPr>
        <w:rFonts w:hint="default"/>
      </w:rPr>
    </w:lvl>
    <w:lvl w:ilvl="5">
      <w:start w:val="1"/>
      <w:numFmt w:val="bullet"/>
      <w:lvlText w:val="•"/>
      <w:lvlJc w:val="left"/>
      <w:pPr>
        <w:ind w:left="-377" w:hanging="360"/>
      </w:pPr>
      <w:rPr>
        <w:rFonts w:hint="default"/>
      </w:rPr>
    </w:lvl>
    <w:lvl w:ilvl="6">
      <w:start w:val="1"/>
      <w:numFmt w:val="bullet"/>
      <w:lvlText w:val="•"/>
      <w:lvlJc w:val="left"/>
      <w:pPr>
        <w:ind w:left="-1075" w:hanging="360"/>
      </w:pPr>
      <w:rPr>
        <w:rFonts w:hint="default"/>
      </w:rPr>
    </w:lvl>
    <w:lvl w:ilvl="7">
      <w:start w:val="1"/>
      <w:numFmt w:val="bullet"/>
      <w:lvlText w:val="•"/>
      <w:lvlJc w:val="left"/>
      <w:pPr>
        <w:ind w:left="-1773" w:hanging="360"/>
      </w:pPr>
      <w:rPr>
        <w:rFonts w:hint="default"/>
      </w:rPr>
    </w:lvl>
    <w:lvl w:ilvl="8">
      <w:start w:val="1"/>
      <w:numFmt w:val="bullet"/>
      <w:lvlText w:val="•"/>
      <w:lvlJc w:val="left"/>
      <w:pPr>
        <w:ind w:left="-2471" w:hanging="360"/>
      </w:pPr>
      <w:rPr>
        <w:rFonts w:hint="default"/>
      </w:rPr>
    </w:lvl>
  </w:abstractNum>
  <w:abstractNum w:abstractNumId="12">
    <w:nsid w:val="64E4474F"/>
    <w:multiLevelType w:val="hybridMultilevel"/>
    <w:tmpl w:val="2E388FDC"/>
    <w:lvl w:ilvl="0" w:tplc="7A0CB8D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A6311"/>
    <w:multiLevelType w:val="hybridMultilevel"/>
    <w:tmpl w:val="78D635E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4">
    <w:nsid w:val="6B7E0836"/>
    <w:multiLevelType w:val="hybridMultilevel"/>
    <w:tmpl w:val="AA0ABA60"/>
    <w:lvl w:ilvl="0" w:tplc="9FA0496E">
      <w:start w:val="1"/>
      <w:numFmt w:val="decimal"/>
      <w:lvlText w:val="%1."/>
      <w:lvlJc w:val="left"/>
      <w:pPr>
        <w:ind w:left="644" w:hanging="360"/>
      </w:pPr>
      <w:rPr>
        <w:rFonts w:ascii="Times New Roman" w:hAnsi="Times New Roman" w:cs="Times New Roman"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2046683"/>
    <w:multiLevelType w:val="hybridMultilevel"/>
    <w:tmpl w:val="F0DE2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0"/>
  </w:num>
  <w:num w:numId="4">
    <w:abstractNumId w:val="6"/>
  </w:num>
  <w:num w:numId="5">
    <w:abstractNumId w:val="8"/>
  </w:num>
  <w:num w:numId="6">
    <w:abstractNumId w:val="12"/>
  </w:num>
  <w:num w:numId="7">
    <w:abstractNumId w:val="9"/>
  </w:num>
  <w:num w:numId="8">
    <w:abstractNumId w:val="10"/>
  </w:num>
  <w:num w:numId="9">
    <w:abstractNumId w:val="7"/>
  </w:num>
  <w:num w:numId="10">
    <w:abstractNumId w:val="1"/>
  </w:num>
  <w:num w:numId="11">
    <w:abstractNumId w:val="13"/>
  </w:num>
  <w:num w:numId="12">
    <w:abstractNumId w:val="3"/>
  </w:num>
  <w:num w:numId="13">
    <w:abstractNumId w:val="4"/>
  </w:num>
  <w:num w:numId="14">
    <w:abstractNumId w:val="1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33FFF"/>
    <w:rsid w:val="000E5280"/>
    <w:rsid w:val="001E7A86"/>
    <w:rsid w:val="00221C08"/>
    <w:rsid w:val="003964E5"/>
    <w:rsid w:val="003B15BB"/>
    <w:rsid w:val="00433FFF"/>
    <w:rsid w:val="004A1D4D"/>
    <w:rsid w:val="0058413A"/>
    <w:rsid w:val="0059218F"/>
    <w:rsid w:val="00640EFB"/>
    <w:rsid w:val="007923FE"/>
    <w:rsid w:val="00806E79"/>
    <w:rsid w:val="0088732B"/>
    <w:rsid w:val="008A3730"/>
    <w:rsid w:val="008C5E98"/>
    <w:rsid w:val="008E295E"/>
    <w:rsid w:val="009C02E9"/>
    <w:rsid w:val="009F2E72"/>
    <w:rsid w:val="00B53BEE"/>
    <w:rsid w:val="00C60D71"/>
    <w:rsid w:val="00C63D09"/>
    <w:rsid w:val="00C6587C"/>
    <w:rsid w:val="00D26769"/>
    <w:rsid w:val="00D7734C"/>
    <w:rsid w:val="00D94370"/>
    <w:rsid w:val="00DC1E52"/>
    <w:rsid w:val="00DC3708"/>
    <w:rsid w:val="00DF40AE"/>
    <w:rsid w:val="00EB17FE"/>
    <w:rsid w:val="00EC51A4"/>
    <w:rsid w:val="00ED0342"/>
    <w:rsid w:val="00ED61E0"/>
    <w:rsid w:val="00FB5BF2"/>
    <w:rsid w:val="00FD7A23"/>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F"/>
    <w:rPr>
      <w:rFonts w:eastAsiaTheme="minorEastAsia"/>
    </w:rPr>
  </w:style>
  <w:style w:type="paragraph" w:styleId="Heading2">
    <w:name w:val="heading 2"/>
    <w:basedOn w:val="Normal"/>
    <w:link w:val="Heading2Char"/>
    <w:uiPriority w:val="1"/>
    <w:qFormat/>
    <w:rsid w:val="00433FFF"/>
    <w:pPr>
      <w:widowControl w:val="0"/>
      <w:spacing w:before="4" w:after="0" w:line="240" w:lineRule="auto"/>
      <w:ind w:left="678" w:hanging="386"/>
      <w:outlineLvl w:val="1"/>
    </w:pPr>
    <w:rPr>
      <w:rFonts w:ascii="Times New Roman" w:eastAsia="Times New Roman" w:hAnsi="Times New Roman"/>
      <w:b/>
      <w:bCs/>
      <w:i/>
    </w:rPr>
  </w:style>
  <w:style w:type="paragraph" w:styleId="Heading3">
    <w:name w:val="heading 3"/>
    <w:basedOn w:val="Normal"/>
    <w:next w:val="Normal"/>
    <w:link w:val="Heading3Char"/>
    <w:uiPriority w:val="9"/>
    <w:unhideWhenUsed/>
    <w:qFormat/>
    <w:rsid w:val="00433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FFF"/>
    <w:rPr>
      <w:rFonts w:ascii="Times New Roman" w:eastAsia="Times New Roman" w:hAnsi="Times New Roman"/>
      <w:b/>
      <w:bCs/>
      <w:i/>
    </w:rPr>
  </w:style>
  <w:style w:type="character" w:customStyle="1" w:styleId="Heading3Char">
    <w:name w:val="Heading 3 Char"/>
    <w:basedOn w:val="DefaultParagraphFont"/>
    <w:link w:val="Heading3"/>
    <w:uiPriority w:val="9"/>
    <w:rsid w:val="00433FFF"/>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433FFF"/>
    <w:pPr>
      <w:ind w:left="720"/>
      <w:contextualSpacing/>
    </w:pPr>
  </w:style>
  <w:style w:type="paragraph" w:styleId="BalloonText">
    <w:name w:val="Balloon Text"/>
    <w:basedOn w:val="Normal"/>
    <w:link w:val="BalloonTextChar"/>
    <w:uiPriority w:val="99"/>
    <w:semiHidden/>
    <w:unhideWhenUsed/>
    <w:rsid w:val="0043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FF"/>
    <w:rPr>
      <w:rFonts w:ascii="Tahoma" w:eastAsiaTheme="minorEastAsia" w:hAnsi="Tahoma" w:cs="Tahoma"/>
      <w:sz w:val="16"/>
      <w:szCs w:val="16"/>
    </w:rPr>
  </w:style>
  <w:style w:type="paragraph" w:styleId="BodyText">
    <w:name w:val="Body Text"/>
    <w:basedOn w:val="Normal"/>
    <w:link w:val="BodyTextChar"/>
    <w:uiPriority w:val="1"/>
    <w:qFormat/>
    <w:rsid w:val="00433FFF"/>
    <w:pPr>
      <w:widowControl w:val="0"/>
      <w:spacing w:after="0" w:line="240" w:lineRule="auto"/>
      <w:ind w:left="112" w:firstLine="540"/>
    </w:pPr>
    <w:rPr>
      <w:rFonts w:ascii="Times New Roman" w:eastAsia="Times New Roman" w:hAnsi="Times New Roman"/>
    </w:rPr>
  </w:style>
  <w:style w:type="character" w:customStyle="1" w:styleId="BodyTextChar">
    <w:name w:val="Body Text Char"/>
    <w:basedOn w:val="DefaultParagraphFont"/>
    <w:link w:val="BodyText"/>
    <w:uiPriority w:val="1"/>
    <w:rsid w:val="00433FFF"/>
    <w:rPr>
      <w:rFonts w:ascii="Times New Roman" w:eastAsia="Times New Roman" w:hAnsi="Times New Roman"/>
    </w:rPr>
  </w:style>
  <w:style w:type="paragraph" w:styleId="Header">
    <w:name w:val="header"/>
    <w:basedOn w:val="Normal"/>
    <w:link w:val="HeaderChar"/>
    <w:uiPriority w:val="99"/>
    <w:unhideWhenUsed/>
    <w:rsid w:val="00433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FF"/>
    <w:rPr>
      <w:rFonts w:eastAsiaTheme="minorEastAsia"/>
    </w:rPr>
  </w:style>
  <w:style w:type="paragraph" w:styleId="Footer">
    <w:name w:val="footer"/>
    <w:basedOn w:val="Normal"/>
    <w:link w:val="FooterChar"/>
    <w:uiPriority w:val="99"/>
    <w:unhideWhenUsed/>
    <w:rsid w:val="00433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FF"/>
    <w:rPr>
      <w:rFonts w:eastAsiaTheme="minorEastAsia"/>
    </w:rPr>
  </w:style>
  <w:style w:type="character" w:customStyle="1" w:styleId="apple-converted-space">
    <w:name w:val="apple-converted-space"/>
    <w:basedOn w:val="DefaultParagraphFont"/>
    <w:rsid w:val="00433FFF"/>
  </w:style>
  <w:style w:type="paragraph" w:customStyle="1" w:styleId="TableParagraph">
    <w:name w:val="Table Paragraph"/>
    <w:basedOn w:val="Normal"/>
    <w:uiPriority w:val="1"/>
    <w:qFormat/>
    <w:rsid w:val="00433FFF"/>
    <w:pPr>
      <w:widowControl w:val="0"/>
      <w:spacing w:after="0" w:line="240" w:lineRule="auto"/>
    </w:pPr>
  </w:style>
  <w:style w:type="character" w:styleId="Hyperlink">
    <w:name w:val="Hyperlink"/>
    <w:basedOn w:val="DefaultParagraphFont"/>
    <w:uiPriority w:val="99"/>
    <w:unhideWhenUsed/>
    <w:rsid w:val="00433FFF"/>
    <w:rPr>
      <w:color w:val="0000FF"/>
      <w:u w:val="single"/>
    </w:rPr>
  </w:style>
  <w:style w:type="paragraph" w:customStyle="1" w:styleId="EndNoteBibliographyTitle">
    <w:name w:val="EndNote Bibliography Title"/>
    <w:basedOn w:val="Normal"/>
    <w:link w:val="EndNoteBibliographyTitleChar"/>
    <w:rsid w:val="00433FF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33FFF"/>
    <w:rPr>
      <w:rFonts w:ascii="Calibri" w:eastAsiaTheme="minorEastAsia" w:hAnsi="Calibri" w:cs="Calibri"/>
      <w:noProof/>
    </w:rPr>
  </w:style>
  <w:style w:type="paragraph" w:customStyle="1" w:styleId="EndNoteBibliography">
    <w:name w:val="EndNote Bibliography"/>
    <w:basedOn w:val="Normal"/>
    <w:link w:val="EndNoteBibliographyChar"/>
    <w:rsid w:val="00433FF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33FFF"/>
    <w:rPr>
      <w:rFonts w:ascii="Calibri" w:eastAsiaTheme="minorEastAsia" w:hAnsi="Calibri" w:cs="Calibri"/>
      <w:noProof/>
    </w:rPr>
  </w:style>
  <w:style w:type="character" w:styleId="CommentReference">
    <w:name w:val="annotation reference"/>
    <w:basedOn w:val="DefaultParagraphFont"/>
    <w:uiPriority w:val="99"/>
    <w:semiHidden/>
    <w:unhideWhenUsed/>
    <w:rsid w:val="00433FFF"/>
    <w:rPr>
      <w:sz w:val="16"/>
      <w:szCs w:val="16"/>
    </w:rPr>
  </w:style>
  <w:style w:type="paragraph" w:styleId="CommentText">
    <w:name w:val="annotation text"/>
    <w:basedOn w:val="Normal"/>
    <w:link w:val="CommentTextChar"/>
    <w:uiPriority w:val="99"/>
    <w:semiHidden/>
    <w:unhideWhenUsed/>
    <w:rsid w:val="00433FFF"/>
    <w:pPr>
      <w:spacing w:line="240" w:lineRule="auto"/>
    </w:pPr>
    <w:rPr>
      <w:sz w:val="20"/>
      <w:szCs w:val="20"/>
    </w:rPr>
  </w:style>
  <w:style w:type="character" w:customStyle="1" w:styleId="CommentTextChar">
    <w:name w:val="Comment Text Char"/>
    <w:basedOn w:val="DefaultParagraphFont"/>
    <w:link w:val="CommentText"/>
    <w:uiPriority w:val="99"/>
    <w:semiHidden/>
    <w:rsid w:val="00433FFF"/>
    <w:rPr>
      <w:rFonts w:eastAsiaTheme="minorEastAsia"/>
      <w:sz w:val="20"/>
      <w:szCs w:val="20"/>
    </w:rPr>
  </w:style>
  <w:style w:type="character" w:customStyle="1" w:styleId="CommentSubjectChar">
    <w:name w:val="Comment Subject Char"/>
    <w:basedOn w:val="CommentTextChar"/>
    <w:link w:val="CommentSubject"/>
    <w:uiPriority w:val="99"/>
    <w:semiHidden/>
    <w:rsid w:val="00433FFF"/>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33FFF"/>
    <w:rPr>
      <w:b/>
      <w:bCs/>
    </w:rPr>
  </w:style>
  <w:style w:type="character" w:customStyle="1" w:styleId="CommentSubjectChar1">
    <w:name w:val="Comment Subject Char1"/>
    <w:basedOn w:val="CommentTextChar"/>
    <w:uiPriority w:val="99"/>
    <w:semiHidden/>
    <w:rsid w:val="00433FFF"/>
    <w:rPr>
      <w:rFonts w:eastAsiaTheme="minorEastAsia"/>
      <w:b/>
      <w:bCs/>
      <w:sz w:val="20"/>
      <w:szCs w:val="20"/>
    </w:rPr>
  </w:style>
  <w:style w:type="paragraph" w:customStyle="1" w:styleId="EndNoteCategoryHeading">
    <w:name w:val="EndNote Category Heading"/>
    <w:basedOn w:val="Normal"/>
    <w:link w:val="EndNoteCategoryHeadingChar"/>
    <w:rsid w:val="00433FFF"/>
    <w:pPr>
      <w:spacing w:before="120" w:after="120"/>
    </w:pPr>
    <w:rPr>
      <w:b/>
      <w:noProof/>
    </w:rPr>
  </w:style>
  <w:style w:type="character" w:customStyle="1" w:styleId="EndNoteCategoryHeadingChar">
    <w:name w:val="EndNote Category Heading Char"/>
    <w:basedOn w:val="DefaultParagraphFont"/>
    <w:link w:val="EndNoteCategoryHeading"/>
    <w:rsid w:val="00433FFF"/>
    <w:rPr>
      <w:rFonts w:eastAsiaTheme="minorEastAsia"/>
      <w:b/>
      <w:noProof/>
    </w:rPr>
  </w:style>
  <w:style w:type="paragraph" w:styleId="FootnoteText">
    <w:name w:val="footnote text"/>
    <w:basedOn w:val="Normal"/>
    <w:link w:val="FootnoteTextChar"/>
    <w:uiPriority w:val="99"/>
    <w:unhideWhenUsed/>
    <w:rsid w:val="00433FFF"/>
    <w:pPr>
      <w:spacing w:after="0" w:line="240" w:lineRule="auto"/>
    </w:pPr>
    <w:rPr>
      <w:sz w:val="20"/>
      <w:szCs w:val="20"/>
    </w:rPr>
  </w:style>
  <w:style w:type="character" w:customStyle="1" w:styleId="FootnoteTextChar">
    <w:name w:val="Footnote Text Char"/>
    <w:basedOn w:val="DefaultParagraphFont"/>
    <w:link w:val="FootnoteText"/>
    <w:uiPriority w:val="99"/>
    <w:rsid w:val="00433FFF"/>
    <w:rPr>
      <w:rFonts w:eastAsiaTheme="minorEastAsia"/>
      <w:sz w:val="20"/>
      <w:szCs w:val="20"/>
    </w:rPr>
  </w:style>
  <w:style w:type="character" w:styleId="FootnoteReference">
    <w:name w:val="footnote reference"/>
    <w:basedOn w:val="DefaultParagraphFont"/>
    <w:uiPriority w:val="99"/>
    <w:semiHidden/>
    <w:unhideWhenUsed/>
    <w:rsid w:val="00433FFF"/>
    <w:rPr>
      <w:vertAlign w:val="superscript"/>
    </w:rPr>
  </w:style>
  <w:style w:type="paragraph" w:styleId="Caption">
    <w:name w:val="caption"/>
    <w:basedOn w:val="Normal"/>
    <w:next w:val="Normal"/>
    <w:uiPriority w:val="35"/>
    <w:unhideWhenUsed/>
    <w:qFormat/>
    <w:rsid w:val="00433FFF"/>
    <w:pPr>
      <w:spacing w:line="240" w:lineRule="auto"/>
    </w:pPr>
    <w:rPr>
      <w:b/>
      <w:bCs/>
      <w:color w:val="4F81BD" w:themeColor="accent1"/>
      <w:sz w:val="18"/>
      <w:szCs w:val="18"/>
    </w:rPr>
  </w:style>
  <w:style w:type="table" w:styleId="TableGrid">
    <w:name w:val="Table Grid"/>
    <w:basedOn w:val="TableNormal"/>
    <w:uiPriority w:val="59"/>
    <w:rsid w:val="0043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33FF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F"/>
    <w:rPr>
      <w:rFonts w:eastAsiaTheme="minorEastAsia"/>
    </w:rPr>
  </w:style>
  <w:style w:type="paragraph" w:styleId="Heading2">
    <w:name w:val="heading 2"/>
    <w:basedOn w:val="Normal"/>
    <w:link w:val="Heading2Char"/>
    <w:uiPriority w:val="1"/>
    <w:qFormat/>
    <w:rsid w:val="00433FFF"/>
    <w:pPr>
      <w:widowControl w:val="0"/>
      <w:spacing w:before="4" w:after="0" w:line="240" w:lineRule="auto"/>
      <w:ind w:left="678" w:hanging="386"/>
      <w:outlineLvl w:val="1"/>
    </w:pPr>
    <w:rPr>
      <w:rFonts w:ascii="Times New Roman" w:eastAsia="Times New Roman" w:hAnsi="Times New Roman"/>
      <w:b/>
      <w:bCs/>
      <w:i/>
    </w:rPr>
  </w:style>
  <w:style w:type="paragraph" w:styleId="Heading3">
    <w:name w:val="heading 3"/>
    <w:basedOn w:val="Normal"/>
    <w:next w:val="Normal"/>
    <w:link w:val="Heading3Char"/>
    <w:uiPriority w:val="9"/>
    <w:unhideWhenUsed/>
    <w:qFormat/>
    <w:rsid w:val="00433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FFF"/>
    <w:rPr>
      <w:rFonts w:ascii="Times New Roman" w:eastAsia="Times New Roman" w:hAnsi="Times New Roman"/>
      <w:b/>
      <w:bCs/>
      <w:i/>
    </w:rPr>
  </w:style>
  <w:style w:type="character" w:customStyle="1" w:styleId="Heading3Char">
    <w:name w:val="Heading 3 Char"/>
    <w:basedOn w:val="DefaultParagraphFont"/>
    <w:link w:val="Heading3"/>
    <w:uiPriority w:val="9"/>
    <w:rsid w:val="00433FFF"/>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433FFF"/>
    <w:pPr>
      <w:ind w:left="720"/>
      <w:contextualSpacing/>
    </w:pPr>
  </w:style>
  <w:style w:type="paragraph" w:styleId="BalloonText">
    <w:name w:val="Balloon Text"/>
    <w:basedOn w:val="Normal"/>
    <w:link w:val="BalloonTextChar"/>
    <w:uiPriority w:val="99"/>
    <w:semiHidden/>
    <w:unhideWhenUsed/>
    <w:rsid w:val="0043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FF"/>
    <w:rPr>
      <w:rFonts w:ascii="Tahoma" w:eastAsiaTheme="minorEastAsia" w:hAnsi="Tahoma" w:cs="Tahoma"/>
      <w:sz w:val="16"/>
      <w:szCs w:val="16"/>
    </w:rPr>
  </w:style>
  <w:style w:type="paragraph" w:styleId="BodyText">
    <w:name w:val="Body Text"/>
    <w:basedOn w:val="Normal"/>
    <w:link w:val="BodyTextChar"/>
    <w:uiPriority w:val="1"/>
    <w:qFormat/>
    <w:rsid w:val="00433FFF"/>
    <w:pPr>
      <w:widowControl w:val="0"/>
      <w:spacing w:after="0" w:line="240" w:lineRule="auto"/>
      <w:ind w:left="112" w:firstLine="540"/>
    </w:pPr>
    <w:rPr>
      <w:rFonts w:ascii="Times New Roman" w:eastAsia="Times New Roman" w:hAnsi="Times New Roman"/>
    </w:rPr>
  </w:style>
  <w:style w:type="character" w:customStyle="1" w:styleId="BodyTextChar">
    <w:name w:val="Body Text Char"/>
    <w:basedOn w:val="DefaultParagraphFont"/>
    <w:link w:val="BodyText"/>
    <w:uiPriority w:val="1"/>
    <w:rsid w:val="00433FFF"/>
    <w:rPr>
      <w:rFonts w:ascii="Times New Roman" w:eastAsia="Times New Roman" w:hAnsi="Times New Roman"/>
    </w:rPr>
  </w:style>
  <w:style w:type="paragraph" w:styleId="Header">
    <w:name w:val="header"/>
    <w:basedOn w:val="Normal"/>
    <w:link w:val="HeaderChar"/>
    <w:uiPriority w:val="99"/>
    <w:unhideWhenUsed/>
    <w:rsid w:val="00433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FF"/>
    <w:rPr>
      <w:rFonts w:eastAsiaTheme="minorEastAsia"/>
    </w:rPr>
  </w:style>
  <w:style w:type="paragraph" w:styleId="Footer">
    <w:name w:val="footer"/>
    <w:basedOn w:val="Normal"/>
    <w:link w:val="FooterChar"/>
    <w:uiPriority w:val="99"/>
    <w:unhideWhenUsed/>
    <w:rsid w:val="00433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FF"/>
    <w:rPr>
      <w:rFonts w:eastAsiaTheme="minorEastAsia"/>
    </w:rPr>
  </w:style>
  <w:style w:type="character" w:customStyle="1" w:styleId="apple-converted-space">
    <w:name w:val="apple-converted-space"/>
    <w:basedOn w:val="DefaultParagraphFont"/>
    <w:rsid w:val="00433FFF"/>
  </w:style>
  <w:style w:type="paragraph" w:customStyle="1" w:styleId="TableParagraph">
    <w:name w:val="Table Paragraph"/>
    <w:basedOn w:val="Normal"/>
    <w:uiPriority w:val="1"/>
    <w:qFormat/>
    <w:rsid w:val="00433FFF"/>
    <w:pPr>
      <w:widowControl w:val="0"/>
      <w:spacing w:after="0" w:line="240" w:lineRule="auto"/>
    </w:pPr>
  </w:style>
  <w:style w:type="character" w:styleId="Hyperlink">
    <w:name w:val="Hyperlink"/>
    <w:basedOn w:val="DefaultParagraphFont"/>
    <w:uiPriority w:val="99"/>
    <w:unhideWhenUsed/>
    <w:rsid w:val="00433FFF"/>
    <w:rPr>
      <w:color w:val="0000FF"/>
      <w:u w:val="single"/>
    </w:rPr>
  </w:style>
  <w:style w:type="paragraph" w:customStyle="1" w:styleId="EndNoteBibliographyTitle">
    <w:name w:val="EndNote Bibliography Title"/>
    <w:basedOn w:val="Normal"/>
    <w:link w:val="EndNoteBibliographyTitleChar"/>
    <w:rsid w:val="00433FF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33FFF"/>
    <w:rPr>
      <w:rFonts w:ascii="Calibri" w:eastAsiaTheme="minorEastAsia" w:hAnsi="Calibri" w:cs="Calibri"/>
      <w:noProof/>
    </w:rPr>
  </w:style>
  <w:style w:type="paragraph" w:customStyle="1" w:styleId="EndNoteBibliography">
    <w:name w:val="EndNote Bibliography"/>
    <w:basedOn w:val="Normal"/>
    <w:link w:val="EndNoteBibliographyChar"/>
    <w:rsid w:val="00433FF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33FFF"/>
    <w:rPr>
      <w:rFonts w:ascii="Calibri" w:eastAsiaTheme="minorEastAsia" w:hAnsi="Calibri" w:cs="Calibri"/>
      <w:noProof/>
    </w:rPr>
  </w:style>
  <w:style w:type="character" w:styleId="CommentReference">
    <w:name w:val="annotation reference"/>
    <w:basedOn w:val="DefaultParagraphFont"/>
    <w:uiPriority w:val="99"/>
    <w:semiHidden/>
    <w:unhideWhenUsed/>
    <w:rsid w:val="00433FFF"/>
    <w:rPr>
      <w:sz w:val="16"/>
      <w:szCs w:val="16"/>
    </w:rPr>
  </w:style>
  <w:style w:type="paragraph" w:styleId="CommentText">
    <w:name w:val="annotation text"/>
    <w:basedOn w:val="Normal"/>
    <w:link w:val="CommentTextChar"/>
    <w:uiPriority w:val="99"/>
    <w:semiHidden/>
    <w:unhideWhenUsed/>
    <w:rsid w:val="00433FFF"/>
    <w:pPr>
      <w:spacing w:line="240" w:lineRule="auto"/>
    </w:pPr>
    <w:rPr>
      <w:sz w:val="20"/>
      <w:szCs w:val="20"/>
    </w:rPr>
  </w:style>
  <w:style w:type="character" w:customStyle="1" w:styleId="CommentTextChar">
    <w:name w:val="Comment Text Char"/>
    <w:basedOn w:val="DefaultParagraphFont"/>
    <w:link w:val="CommentText"/>
    <w:uiPriority w:val="99"/>
    <w:semiHidden/>
    <w:rsid w:val="00433FFF"/>
    <w:rPr>
      <w:rFonts w:eastAsiaTheme="minorEastAsia"/>
      <w:sz w:val="20"/>
      <w:szCs w:val="20"/>
    </w:rPr>
  </w:style>
  <w:style w:type="character" w:customStyle="1" w:styleId="CommentSubjectChar">
    <w:name w:val="Comment Subject Char"/>
    <w:basedOn w:val="CommentTextChar"/>
    <w:link w:val="CommentSubject"/>
    <w:uiPriority w:val="99"/>
    <w:semiHidden/>
    <w:rsid w:val="00433FFF"/>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33FFF"/>
    <w:rPr>
      <w:b/>
      <w:bCs/>
    </w:rPr>
  </w:style>
  <w:style w:type="character" w:customStyle="1" w:styleId="CommentSubjectChar1">
    <w:name w:val="Comment Subject Char1"/>
    <w:basedOn w:val="CommentTextChar"/>
    <w:uiPriority w:val="99"/>
    <w:semiHidden/>
    <w:rsid w:val="00433FFF"/>
    <w:rPr>
      <w:rFonts w:eastAsiaTheme="minorEastAsia"/>
      <w:b/>
      <w:bCs/>
      <w:sz w:val="20"/>
      <w:szCs w:val="20"/>
    </w:rPr>
  </w:style>
  <w:style w:type="paragraph" w:customStyle="1" w:styleId="EndNoteCategoryHeading">
    <w:name w:val="EndNote Category Heading"/>
    <w:basedOn w:val="Normal"/>
    <w:link w:val="EndNoteCategoryHeadingChar"/>
    <w:rsid w:val="00433FFF"/>
    <w:pPr>
      <w:spacing w:before="120" w:after="120"/>
    </w:pPr>
    <w:rPr>
      <w:b/>
      <w:noProof/>
    </w:rPr>
  </w:style>
  <w:style w:type="character" w:customStyle="1" w:styleId="EndNoteCategoryHeadingChar">
    <w:name w:val="EndNote Category Heading Char"/>
    <w:basedOn w:val="DefaultParagraphFont"/>
    <w:link w:val="EndNoteCategoryHeading"/>
    <w:rsid w:val="00433FFF"/>
    <w:rPr>
      <w:rFonts w:eastAsiaTheme="minorEastAsia"/>
      <w:b/>
      <w:noProof/>
    </w:rPr>
  </w:style>
  <w:style w:type="paragraph" w:styleId="FootnoteText">
    <w:name w:val="footnote text"/>
    <w:basedOn w:val="Normal"/>
    <w:link w:val="FootnoteTextChar"/>
    <w:uiPriority w:val="99"/>
    <w:unhideWhenUsed/>
    <w:rsid w:val="00433FFF"/>
    <w:pPr>
      <w:spacing w:after="0" w:line="240" w:lineRule="auto"/>
    </w:pPr>
    <w:rPr>
      <w:sz w:val="20"/>
      <w:szCs w:val="20"/>
    </w:rPr>
  </w:style>
  <w:style w:type="character" w:customStyle="1" w:styleId="FootnoteTextChar">
    <w:name w:val="Footnote Text Char"/>
    <w:basedOn w:val="DefaultParagraphFont"/>
    <w:link w:val="FootnoteText"/>
    <w:uiPriority w:val="99"/>
    <w:rsid w:val="00433FFF"/>
    <w:rPr>
      <w:rFonts w:eastAsiaTheme="minorEastAsia"/>
      <w:sz w:val="20"/>
      <w:szCs w:val="20"/>
    </w:rPr>
  </w:style>
  <w:style w:type="character" w:styleId="FootnoteReference">
    <w:name w:val="footnote reference"/>
    <w:basedOn w:val="DefaultParagraphFont"/>
    <w:uiPriority w:val="99"/>
    <w:semiHidden/>
    <w:unhideWhenUsed/>
    <w:rsid w:val="00433FFF"/>
    <w:rPr>
      <w:vertAlign w:val="superscript"/>
    </w:rPr>
  </w:style>
  <w:style w:type="paragraph" w:styleId="Caption">
    <w:name w:val="caption"/>
    <w:basedOn w:val="Normal"/>
    <w:next w:val="Normal"/>
    <w:uiPriority w:val="35"/>
    <w:unhideWhenUsed/>
    <w:qFormat/>
    <w:rsid w:val="00433FFF"/>
    <w:pPr>
      <w:spacing w:line="240" w:lineRule="auto"/>
    </w:pPr>
    <w:rPr>
      <w:b/>
      <w:bCs/>
      <w:color w:val="4F81BD" w:themeColor="accent1"/>
      <w:sz w:val="18"/>
      <w:szCs w:val="18"/>
    </w:rPr>
  </w:style>
  <w:style w:type="table" w:styleId="TableGrid">
    <w:name w:val="Table Grid"/>
    <w:basedOn w:val="TableNormal"/>
    <w:uiPriority w:val="59"/>
    <w:rsid w:val="0043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33FF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fef.vn/noi-room-ngoai-moi-giai-bai-toan-tai-co-cau-20160919083242775.ch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uanducsbvhc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01BD-8605-49A8-B7E9-BB3CBC70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2017-08-08T08:57:00Z</dcterms:created>
  <dcterms:modified xsi:type="dcterms:W3CDTF">2017-08-08T08:57:00Z</dcterms:modified>
</cp:coreProperties>
</file>