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8486F" w14:textId="77777777" w:rsidR="007F0E5F" w:rsidRPr="00453E07" w:rsidRDefault="007F0E5F" w:rsidP="007F0E5F">
      <w:pPr>
        <w:widowControl w:val="0"/>
        <w:tabs>
          <w:tab w:val="left" w:pos="8820"/>
        </w:tabs>
        <w:autoSpaceDE w:val="0"/>
        <w:autoSpaceDN w:val="0"/>
        <w:adjustRightInd w:val="0"/>
        <w:spacing w:after="0" w:line="360" w:lineRule="auto"/>
        <w:rPr>
          <w:rFonts w:cstheme="majorHAnsi"/>
          <w:szCs w:val="26"/>
        </w:rPr>
      </w:pPr>
      <w:r w:rsidRPr="00453E07">
        <w:rPr>
          <w:rFonts w:cstheme="majorHAnsi"/>
          <w:szCs w:val="26"/>
        </w:rPr>
        <w:t>Họ và tên:  PHÙNG ANH THƯ</w:t>
      </w:r>
    </w:p>
    <w:p w14:paraId="4D1FB672" w14:textId="77777777" w:rsidR="007F0E5F" w:rsidRPr="00453E07" w:rsidRDefault="007F0E5F" w:rsidP="007F0E5F">
      <w:pPr>
        <w:widowControl w:val="0"/>
        <w:tabs>
          <w:tab w:val="left" w:pos="8820"/>
        </w:tabs>
        <w:autoSpaceDE w:val="0"/>
        <w:autoSpaceDN w:val="0"/>
        <w:adjustRightInd w:val="0"/>
        <w:spacing w:after="0" w:line="360" w:lineRule="auto"/>
        <w:rPr>
          <w:rFonts w:cstheme="majorHAnsi"/>
          <w:szCs w:val="26"/>
        </w:rPr>
      </w:pPr>
      <w:r w:rsidRPr="00453E07">
        <w:rPr>
          <w:rFonts w:cstheme="majorHAnsi"/>
          <w:szCs w:val="26"/>
        </w:rPr>
        <w:t>Địa chỉ: 36/22/3 Đường số 4, KP6, P. Hiệp Bình Phước, Q. Thủ Đức, HCM.</w:t>
      </w:r>
    </w:p>
    <w:p w14:paraId="54A71160" w14:textId="77777777" w:rsidR="007F0E5F" w:rsidRPr="00453E07" w:rsidRDefault="007F0E5F" w:rsidP="007F0E5F">
      <w:pPr>
        <w:widowControl w:val="0"/>
        <w:tabs>
          <w:tab w:val="left" w:pos="8820"/>
        </w:tabs>
        <w:autoSpaceDE w:val="0"/>
        <w:autoSpaceDN w:val="0"/>
        <w:adjustRightInd w:val="0"/>
        <w:spacing w:after="0" w:line="360" w:lineRule="auto"/>
        <w:rPr>
          <w:rFonts w:cstheme="majorHAnsi"/>
          <w:szCs w:val="26"/>
        </w:rPr>
      </w:pPr>
      <w:r w:rsidRPr="00453E07">
        <w:rPr>
          <w:rFonts w:cstheme="majorHAnsi"/>
          <w:szCs w:val="26"/>
        </w:rPr>
        <w:t xml:space="preserve">Đơn vị: Giảng viên </w:t>
      </w:r>
      <w:r w:rsidRPr="00056341">
        <w:rPr>
          <w:rFonts w:cstheme="majorHAnsi"/>
          <w:szCs w:val="26"/>
        </w:rPr>
        <w:t xml:space="preserve">Khoa </w:t>
      </w:r>
      <w:r>
        <w:rPr>
          <w:rFonts w:cstheme="majorHAnsi"/>
          <w:szCs w:val="26"/>
        </w:rPr>
        <w:t>Tài chính-Kế toán</w:t>
      </w:r>
      <w:r w:rsidRPr="00453E07">
        <w:rPr>
          <w:rFonts w:cstheme="majorHAnsi"/>
          <w:szCs w:val="26"/>
        </w:rPr>
        <w:t xml:space="preserve"> _Trường Đại học Nguyễn Tất Thành</w:t>
      </w:r>
    </w:p>
    <w:p w14:paraId="2852612D" w14:textId="77777777" w:rsidR="007F0E5F" w:rsidRPr="00453E07" w:rsidRDefault="007F0E5F" w:rsidP="007F0E5F">
      <w:pPr>
        <w:widowControl w:val="0"/>
        <w:tabs>
          <w:tab w:val="left" w:pos="8820"/>
        </w:tabs>
        <w:autoSpaceDE w:val="0"/>
        <w:autoSpaceDN w:val="0"/>
        <w:adjustRightInd w:val="0"/>
        <w:spacing w:after="0" w:line="360" w:lineRule="auto"/>
        <w:rPr>
          <w:rFonts w:cstheme="majorHAnsi"/>
          <w:szCs w:val="26"/>
        </w:rPr>
      </w:pPr>
      <w:r w:rsidRPr="00453E07">
        <w:rPr>
          <w:rFonts w:cstheme="majorHAnsi"/>
          <w:szCs w:val="26"/>
        </w:rPr>
        <w:t>Email: phunganhthu1990@gmail.com</w:t>
      </w:r>
    </w:p>
    <w:p w14:paraId="7B66B1E4" w14:textId="77777777" w:rsidR="007F0E5F" w:rsidRPr="00453E07" w:rsidRDefault="007F0E5F" w:rsidP="007F0E5F">
      <w:pPr>
        <w:widowControl w:val="0"/>
        <w:tabs>
          <w:tab w:val="left" w:pos="8820"/>
        </w:tabs>
        <w:autoSpaceDE w:val="0"/>
        <w:autoSpaceDN w:val="0"/>
        <w:adjustRightInd w:val="0"/>
        <w:spacing w:after="0" w:line="360" w:lineRule="auto"/>
        <w:rPr>
          <w:rFonts w:cstheme="majorHAnsi"/>
          <w:szCs w:val="26"/>
        </w:rPr>
      </w:pPr>
      <w:r w:rsidRPr="00453E07">
        <w:rPr>
          <w:rFonts w:cstheme="majorHAnsi"/>
          <w:szCs w:val="26"/>
        </w:rPr>
        <w:t>Điện thoại: 0122 2525 700</w:t>
      </w:r>
    </w:p>
    <w:p w14:paraId="655748FF" w14:textId="77777777" w:rsidR="007F0E5F" w:rsidRDefault="007F0E5F" w:rsidP="00361353">
      <w:pPr>
        <w:spacing w:after="0" w:line="360" w:lineRule="auto"/>
        <w:jc w:val="center"/>
        <w:rPr>
          <w:rFonts w:cstheme="majorHAnsi"/>
          <w:b/>
          <w:sz w:val="24"/>
          <w:szCs w:val="26"/>
          <w:lang w:val="en-US"/>
        </w:rPr>
      </w:pPr>
    </w:p>
    <w:p w14:paraId="1D6A8EFD" w14:textId="04E04B08" w:rsidR="00EB37D0" w:rsidRPr="00341848" w:rsidRDefault="003A3662" w:rsidP="00361353">
      <w:pPr>
        <w:spacing w:after="0" w:line="360" w:lineRule="auto"/>
        <w:jc w:val="center"/>
        <w:rPr>
          <w:rFonts w:cstheme="majorHAnsi"/>
          <w:b/>
          <w:sz w:val="24"/>
          <w:szCs w:val="26"/>
          <w:lang w:val="en-US"/>
        </w:rPr>
      </w:pPr>
      <w:r>
        <w:rPr>
          <w:rFonts w:cstheme="majorHAnsi"/>
          <w:b/>
          <w:sz w:val="24"/>
          <w:szCs w:val="26"/>
          <w:lang w:val="en-US"/>
        </w:rPr>
        <w:t xml:space="preserve">KHẢ NĂNG HOẠT ĐỘNG LIÊN TỤC </w:t>
      </w:r>
      <w:r w:rsidR="0031454E">
        <w:rPr>
          <w:rFonts w:cstheme="majorHAnsi"/>
          <w:b/>
          <w:sz w:val="24"/>
          <w:szCs w:val="26"/>
          <w:lang w:val="en-US"/>
        </w:rPr>
        <w:t>VÀ</w:t>
      </w:r>
      <w:r w:rsidR="00A73341">
        <w:rPr>
          <w:rFonts w:cstheme="majorHAnsi"/>
          <w:b/>
          <w:sz w:val="24"/>
          <w:szCs w:val="26"/>
          <w:lang w:val="en-US"/>
        </w:rPr>
        <w:t xml:space="preserve"> CHẤT LƯỢNG BÁO CÁO TÀI CHÍNH</w:t>
      </w:r>
      <w:r>
        <w:rPr>
          <w:rFonts w:cstheme="majorHAnsi"/>
          <w:b/>
          <w:sz w:val="24"/>
          <w:szCs w:val="26"/>
          <w:lang w:val="en-US"/>
        </w:rPr>
        <w:t xml:space="preserve"> CÁC CÔNG TY NIÊM YẾT </w:t>
      </w:r>
      <w:r w:rsidR="009B11BB" w:rsidRPr="00341848">
        <w:rPr>
          <w:rFonts w:cstheme="majorHAnsi"/>
          <w:b/>
          <w:sz w:val="24"/>
          <w:szCs w:val="26"/>
          <w:lang w:val="en-US"/>
        </w:rPr>
        <w:t>TRÊN THỊ TRƯỜNG CHỨNG KHOÁN VIỆT NAM</w:t>
      </w:r>
    </w:p>
    <w:p w14:paraId="7EC8E0B9" w14:textId="752652BD" w:rsidR="00D15717" w:rsidRPr="00341848" w:rsidRDefault="00A0595D" w:rsidP="00361353">
      <w:pPr>
        <w:spacing w:after="0" w:line="360" w:lineRule="auto"/>
        <w:jc w:val="center"/>
        <w:rPr>
          <w:rFonts w:cstheme="majorHAnsi"/>
          <w:b/>
          <w:sz w:val="28"/>
          <w:szCs w:val="26"/>
          <w:lang w:val="en-US"/>
        </w:rPr>
      </w:pPr>
      <w:r>
        <w:rPr>
          <w:rFonts w:cstheme="majorHAnsi"/>
          <w:b/>
          <w:sz w:val="28"/>
          <w:szCs w:val="26"/>
          <w:lang w:val="en-US"/>
        </w:rPr>
        <w:t>G</w:t>
      </w:r>
      <w:r w:rsidR="003A3662">
        <w:rPr>
          <w:rFonts w:cstheme="majorHAnsi"/>
          <w:b/>
          <w:sz w:val="28"/>
          <w:szCs w:val="26"/>
          <w:lang w:val="en-US"/>
        </w:rPr>
        <w:t xml:space="preserve">oing concern </w:t>
      </w:r>
      <w:r>
        <w:rPr>
          <w:rFonts w:cstheme="majorHAnsi"/>
          <w:b/>
          <w:sz w:val="28"/>
          <w:szCs w:val="26"/>
          <w:lang w:val="en-US"/>
        </w:rPr>
        <w:t>and</w:t>
      </w:r>
      <w:r w:rsidR="003A3662">
        <w:rPr>
          <w:rFonts w:cstheme="majorHAnsi"/>
          <w:b/>
          <w:sz w:val="28"/>
          <w:szCs w:val="26"/>
          <w:lang w:val="en-US"/>
        </w:rPr>
        <w:t xml:space="preserve"> </w:t>
      </w:r>
      <w:r w:rsidR="00003565">
        <w:rPr>
          <w:rFonts w:cstheme="majorHAnsi"/>
          <w:b/>
          <w:sz w:val="28"/>
          <w:szCs w:val="26"/>
          <w:lang w:val="en-US"/>
        </w:rPr>
        <w:t>financial reporting quality</w:t>
      </w:r>
      <w:r w:rsidR="003A3662">
        <w:rPr>
          <w:rFonts w:cstheme="majorHAnsi"/>
          <w:b/>
          <w:sz w:val="28"/>
          <w:szCs w:val="26"/>
          <w:lang w:val="en-US"/>
        </w:rPr>
        <w:t>: Evidence from Vietnam</w:t>
      </w:r>
    </w:p>
    <w:p w14:paraId="1BFC2FCB" w14:textId="39F9EC68" w:rsidR="00F43855" w:rsidRPr="00341848" w:rsidRDefault="00F43855" w:rsidP="00361353">
      <w:pPr>
        <w:spacing w:after="0" w:line="360" w:lineRule="auto"/>
        <w:jc w:val="center"/>
        <w:rPr>
          <w:rFonts w:cstheme="majorHAnsi"/>
          <w:b/>
          <w:szCs w:val="26"/>
        </w:rPr>
      </w:pPr>
    </w:p>
    <w:p w14:paraId="018F39EE" w14:textId="77777777" w:rsidR="00BE7E42" w:rsidRPr="00BE7E42" w:rsidRDefault="00BE7E42" w:rsidP="00BE7E42">
      <w:pPr>
        <w:spacing w:after="0" w:line="360" w:lineRule="auto"/>
        <w:jc w:val="right"/>
        <w:rPr>
          <w:rFonts w:cstheme="majorHAnsi"/>
          <w:szCs w:val="26"/>
          <w:lang w:val="en-US"/>
        </w:rPr>
      </w:pPr>
      <w:r w:rsidRPr="00BE7E42">
        <w:rPr>
          <w:rFonts w:cstheme="majorHAnsi"/>
          <w:szCs w:val="26"/>
          <w:lang w:val="en-US"/>
        </w:rPr>
        <w:t>ThS. Phùng Anh Thư</w:t>
      </w:r>
    </w:p>
    <w:p w14:paraId="05897F6B" w14:textId="009C6D36" w:rsidR="00BE7E42" w:rsidRDefault="00BE7E42" w:rsidP="00BE7E42">
      <w:pPr>
        <w:spacing w:after="0" w:line="360" w:lineRule="auto"/>
        <w:jc w:val="right"/>
        <w:rPr>
          <w:rFonts w:cstheme="majorHAnsi"/>
          <w:szCs w:val="26"/>
          <w:lang w:val="en-US"/>
        </w:rPr>
      </w:pPr>
      <w:r w:rsidRPr="00BE7E42">
        <w:rPr>
          <w:rFonts w:cstheme="majorHAnsi"/>
          <w:szCs w:val="26"/>
          <w:lang w:val="en-US"/>
        </w:rPr>
        <w:t>Trường Đại học Nguyễn Tất Thành</w:t>
      </w:r>
    </w:p>
    <w:p w14:paraId="510DC9C6" w14:textId="77777777" w:rsidR="00AB1A65" w:rsidRPr="00BE7E42" w:rsidRDefault="00AB1A65" w:rsidP="00AB1A65">
      <w:pPr>
        <w:spacing w:after="0" w:line="360" w:lineRule="auto"/>
        <w:jc w:val="right"/>
        <w:rPr>
          <w:rFonts w:cstheme="majorHAnsi"/>
          <w:szCs w:val="26"/>
          <w:lang w:val="en-US"/>
        </w:rPr>
      </w:pPr>
      <w:r w:rsidRPr="00BE7E42">
        <w:rPr>
          <w:rFonts w:cstheme="majorHAnsi"/>
          <w:szCs w:val="26"/>
          <w:lang w:val="en-US"/>
        </w:rPr>
        <w:t>ThS.NCS. Nguyễn Vĩnh Khương</w:t>
      </w:r>
    </w:p>
    <w:p w14:paraId="190280D8" w14:textId="34DE1513" w:rsidR="00AB1A65" w:rsidRPr="00BE7E42" w:rsidRDefault="00AB1A65" w:rsidP="00AB1A65">
      <w:pPr>
        <w:spacing w:after="0" w:line="360" w:lineRule="auto"/>
        <w:jc w:val="right"/>
        <w:rPr>
          <w:rFonts w:cstheme="majorHAnsi"/>
          <w:szCs w:val="26"/>
          <w:lang w:val="en-US"/>
        </w:rPr>
      </w:pPr>
      <w:r w:rsidRPr="00BE7E42">
        <w:rPr>
          <w:rFonts w:cstheme="majorHAnsi"/>
          <w:szCs w:val="26"/>
          <w:lang w:val="en-US"/>
        </w:rPr>
        <w:t xml:space="preserve">Trường Đại học </w:t>
      </w:r>
      <w:r>
        <w:rPr>
          <w:rFonts w:cstheme="majorHAnsi"/>
          <w:szCs w:val="26"/>
          <w:lang w:val="en-US"/>
        </w:rPr>
        <w:t xml:space="preserve">Kinh tế-Luật, ĐHQG </w:t>
      </w:r>
      <w:r w:rsidR="003D5185">
        <w:rPr>
          <w:rFonts w:cstheme="majorHAnsi"/>
          <w:szCs w:val="26"/>
          <w:lang w:val="en-US"/>
        </w:rPr>
        <w:t>TP.</w:t>
      </w:r>
      <w:r>
        <w:rPr>
          <w:rFonts w:cstheme="majorHAnsi"/>
          <w:szCs w:val="26"/>
          <w:lang w:val="en-US"/>
        </w:rPr>
        <w:t>HCM</w:t>
      </w:r>
    </w:p>
    <w:p w14:paraId="3C4AC46D" w14:textId="25533E4B" w:rsidR="000F7AD1" w:rsidRDefault="00620715" w:rsidP="00BE7E42">
      <w:pPr>
        <w:spacing w:after="0" w:line="360" w:lineRule="auto"/>
        <w:rPr>
          <w:rFonts w:cstheme="majorHAnsi"/>
          <w:szCs w:val="26"/>
          <w:lang w:val="en-US"/>
        </w:rPr>
      </w:pPr>
      <w:r w:rsidRPr="00341848">
        <w:rPr>
          <w:rFonts w:cstheme="majorHAnsi"/>
          <w:b/>
          <w:szCs w:val="26"/>
          <w:lang w:val="en-US"/>
        </w:rPr>
        <w:t>Tóm tắt</w:t>
      </w:r>
      <w:r w:rsidR="00361353" w:rsidRPr="00341848">
        <w:rPr>
          <w:rFonts w:cstheme="majorHAnsi"/>
          <w:b/>
          <w:szCs w:val="26"/>
          <w:lang w:val="en-US"/>
        </w:rPr>
        <w:t xml:space="preserve">: </w:t>
      </w:r>
    </w:p>
    <w:p w14:paraId="199EB5D0" w14:textId="3A5E2A7E" w:rsidR="003F109D" w:rsidRPr="00341848" w:rsidRDefault="000F7AD1" w:rsidP="00361353">
      <w:pPr>
        <w:spacing w:after="0" w:line="360" w:lineRule="auto"/>
        <w:rPr>
          <w:rFonts w:cstheme="majorHAnsi"/>
          <w:szCs w:val="26"/>
          <w:lang w:val="en-US"/>
        </w:rPr>
      </w:pPr>
      <w:r w:rsidRPr="000F7AD1">
        <w:rPr>
          <w:rFonts w:cstheme="majorHAnsi"/>
          <w:szCs w:val="26"/>
          <w:lang w:val="en-US"/>
        </w:rPr>
        <w:t xml:space="preserve">Nghiên cứu được thực hiện nhằm cung cấp bằng chứng thực nghiệm về mối quan hệ tương quan giữa </w:t>
      </w:r>
      <w:r>
        <w:rPr>
          <w:rFonts w:cstheme="majorHAnsi"/>
          <w:szCs w:val="26"/>
          <w:lang w:val="en-US"/>
        </w:rPr>
        <w:t>k</w:t>
      </w:r>
      <w:r w:rsidRPr="000F7AD1">
        <w:rPr>
          <w:rFonts w:cstheme="majorHAnsi"/>
          <w:szCs w:val="26"/>
          <w:lang w:val="en-US"/>
        </w:rPr>
        <w:t>hả năng hoạt động liên tụ</w:t>
      </w:r>
      <w:r>
        <w:rPr>
          <w:rFonts w:cstheme="majorHAnsi"/>
          <w:szCs w:val="26"/>
          <w:lang w:val="en-US"/>
        </w:rPr>
        <w:t>c</w:t>
      </w:r>
      <w:r w:rsidRPr="000F7AD1">
        <w:rPr>
          <w:rFonts w:cstheme="majorHAnsi"/>
          <w:szCs w:val="26"/>
          <w:lang w:val="en-US"/>
        </w:rPr>
        <w:t xml:space="preserve"> (KNHĐLT) </w:t>
      </w:r>
      <w:r>
        <w:rPr>
          <w:rFonts w:cstheme="majorHAnsi"/>
          <w:szCs w:val="26"/>
          <w:lang w:val="en-US"/>
        </w:rPr>
        <w:t xml:space="preserve">và </w:t>
      </w:r>
      <w:r w:rsidR="00CE7B2E">
        <w:rPr>
          <w:rFonts w:cstheme="majorHAnsi"/>
          <w:szCs w:val="26"/>
          <w:lang w:val="en-US"/>
        </w:rPr>
        <w:t>chất lượng báo cáo tài chính</w:t>
      </w:r>
      <w:r>
        <w:rPr>
          <w:rFonts w:cstheme="majorHAnsi"/>
          <w:szCs w:val="26"/>
          <w:lang w:val="en-US"/>
        </w:rPr>
        <w:t xml:space="preserve"> </w:t>
      </w:r>
      <w:r w:rsidRPr="000F7AD1">
        <w:rPr>
          <w:rFonts w:cstheme="majorHAnsi"/>
          <w:szCs w:val="26"/>
          <w:lang w:val="en-US"/>
        </w:rPr>
        <w:t>của các công ty niêm yết trên thị trường chứng khoán Việt Nam. Dựa vào dữ liệu từ</w:t>
      </w:r>
      <w:r>
        <w:rPr>
          <w:rFonts w:cstheme="majorHAnsi"/>
          <w:szCs w:val="26"/>
          <w:lang w:val="en-US"/>
        </w:rPr>
        <w:t xml:space="preserve"> 279</w:t>
      </w:r>
      <w:r w:rsidRPr="000F7AD1">
        <w:rPr>
          <w:rFonts w:cstheme="majorHAnsi"/>
          <w:szCs w:val="26"/>
          <w:lang w:val="en-US"/>
        </w:rPr>
        <w:t xml:space="preserve"> công ty  niêm yết trên hai sàn giao dịch chứng khoán ở VN trong khoảng thờ</w:t>
      </w:r>
      <w:r>
        <w:rPr>
          <w:rFonts w:cstheme="majorHAnsi"/>
          <w:szCs w:val="26"/>
          <w:lang w:val="en-US"/>
        </w:rPr>
        <w:t>i gian 2009</w:t>
      </w:r>
      <w:r w:rsidRPr="000F7AD1">
        <w:rPr>
          <w:rFonts w:cstheme="majorHAnsi"/>
          <w:szCs w:val="26"/>
          <w:lang w:val="en-US"/>
        </w:rPr>
        <w:t xml:space="preserve">-2015, bằng phương pháp nghiên cứu định lượng, nhóm tác giả </w:t>
      </w:r>
      <w:r w:rsidR="008916A6">
        <w:rPr>
          <w:rFonts w:cstheme="majorHAnsi"/>
          <w:szCs w:val="26"/>
          <w:lang w:val="en-US"/>
        </w:rPr>
        <w:t xml:space="preserve">kết luận </w:t>
      </w:r>
      <w:r w:rsidRPr="000F7AD1">
        <w:rPr>
          <w:rFonts w:cstheme="majorHAnsi"/>
          <w:szCs w:val="26"/>
          <w:lang w:val="en-US"/>
        </w:rPr>
        <w:t xml:space="preserve">có sự tương quan giữa KNHĐLT </w:t>
      </w:r>
      <w:r w:rsidR="008916A6">
        <w:rPr>
          <w:rFonts w:cstheme="majorHAnsi"/>
          <w:szCs w:val="26"/>
          <w:lang w:val="en-US"/>
        </w:rPr>
        <w:t xml:space="preserve">và </w:t>
      </w:r>
      <w:r w:rsidR="00CE7B2E">
        <w:rPr>
          <w:rFonts w:cstheme="majorHAnsi"/>
          <w:szCs w:val="26"/>
          <w:lang w:val="en-US"/>
        </w:rPr>
        <w:t xml:space="preserve">chất lượng báo cáo tài chính </w:t>
      </w:r>
      <w:r w:rsidRPr="000F7AD1">
        <w:rPr>
          <w:rFonts w:cstheme="majorHAnsi"/>
          <w:szCs w:val="26"/>
          <w:lang w:val="en-US"/>
        </w:rPr>
        <w:t>của doanh nghiệp</w:t>
      </w:r>
      <w:r w:rsidR="008916A6">
        <w:rPr>
          <w:rFonts w:cstheme="majorHAnsi"/>
          <w:szCs w:val="26"/>
          <w:lang w:val="en-US"/>
        </w:rPr>
        <w:t xml:space="preserve"> niêm yết</w:t>
      </w:r>
      <w:r w:rsidRPr="000F7AD1">
        <w:rPr>
          <w:rFonts w:cstheme="majorHAnsi"/>
          <w:szCs w:val="26"/>
          <w:lang w:val="en-US"/>
        </w:rPr>
        <w:t>. Kết quả nghiên cứu có ý nghĩa đối với các nhà đầu tư, cơ quan quả</w:t>
      </w:r>
      <w:r w:rsidR="008916A6">
        <w:rPr>
          <w:rFonts w:cstheme="majorHAnsi"/>
          <w:szCs w:val="26"/>
          <w:lang w:val="en-US"/>
        </w:rPr>
        <w:t xml:space="preserve">n lý </w:t>
      </w:r>
      <w:r w:rsidRPr="000F7AD1">
        <w:rPr>
          <w:rFonts w:cstheme="majorHAnsi"/>
          <w:szCs w:val="26"/>
          <w:lang w:val="en-US"/>
        </w:rPr>
        <w:t>và góp phần làm minh bạch thông tin báo cáo tài chính.</w:t>
      </w:r>
    </w:p>
    <w:p w14:paraId="78B1B025" w14:textId="0D2BA434" w:rsidR="00E93781" w:rsidRPr="00341848" w:rsidRDefault="00E93781" w:rsidP="00361353">
      <w:pPr>
        <w:spacing w:after="0" w:line="360" w:lineRule="auto"/>
        <w:rPr>
          <w:rFonts w:cstheme="majorHAnsi"/>
          <w:szCs w:val="26"/>
          <w:lang w:val="en-US"/>
        </w:rPr>
      </w:pPr>
      <w:r w:rsidRPr="00341848">
        <w:rPr>
          <w:rFonts w:cstheme="majorHAnsi"/>
          <w:b/>
          <w:szCs w:val="26"/>
          <w:lang w:val="en-US"/>
        </w:rPr>
        <w:t>Từ khóa:</w:t>
      </w:r>
      <w:r w:rsidRPr="00341848">
        <w:rPr>
          <w:rFonts w:cstheme="majorHAnsi"/>
          <w:szCs w:val="26"/>
          <w:lang w:val="en-US"/>
        </w:rPr>
        <w:t xml:space="preserve"> </w:t>
      </w:r>
      <w:r w:rsidR="00CF28B9">
        <w:rPr>
          <w:rFonts w:cstheme="majorHAnsi"/>
          <w:szCs w:val="26"/>
          <w:lang w:val="en-US"/>
        </w:rPr>
        <w:t>khả năng hoạt động liên tục</w:t>
      </w:r>
      <w:r w:rsidR="004F025F" w:rsidRPr="00341848">
        <w:rPr>
          <w:rFonts w:cstheme="majorHAnsi"/>
          <w:szCs w:val="26"/>
          <w:lang w:val="en-US"/>
        </w:rPr>
        <w:t>,</w:t>
      </w:r>
      <w:r w:rsidR="003F109D" w:rsidRPr="00341848">
        <w:rPr>
          <w:rFonts w:cstheme="majorHAnsi"/>
          <w:szCs w:val="26"/>
          <w:lang w:val="en-US"/>
        </w:rPr>
        <w:t xml:space="preserve"> </w:t>
      </w:r>
      <w:r w:rsidR="00CE7B2E">
        <w:rPr>
          <w:rFonts w:cstheme="majorHAnsi"/>
          <w:szCs w:val="26"/>
          <w:lang w:val="en-US"/>
        </w:rPr>
        <w:t>chất lượng báo cáo tài chính</w:t>
      </w:r>
      <w:r w:rsidR="002249A8" w:rsidRPr="00341848">
        <w:rPr>
          <w:rFonts w:cstheme="majorHAnsi"/>
          <w:szCs w:val="26"/>
          <w:lang w:val="en-US"/>
        </w:rPr>
        <w:t xml:space="preserve">, </w:t>
      </w:r>
      <w:r w:rsidR="00CF28B9">
        <w:rPr>
          <w:rFonts w:cstheme="majorHAnsi"/>
          <w:szCs w:val="26"/>
          <w:lang w:val="en-US"/>
        </w:rPr>
        <w:t>công ty niêm yết</w:t>
      </w:r>
      <w:r w:rsidR="00BA0856" w:rsidRPr="00341848">
        <w:rPr>
          <w:rFonts w:cstheme="majorHAnsi"/>
          <w:szCs w:val="26"/>
          <w:lang w:val="en-US"/>
        </w:rPr>
        <w:t>.</w:t>
      </w:r>
    </w:p>
    <w:p w14:paraId="53BF7580" w14:textId="77777777" w:rsidR="00672DDA" w:rsidRPr="00341848" w:rsidRDefault="00672DDA" w:rsidP="00361353">
      <w:pPr>
        <w:spacing w:after="0" w:line="360" w:lineRule="auto"/>
        <w:rPr>
          <w:rFonts w:cstheme="majorHAnsi"/>
          <w:b/>
          <w:szCs w:val="26"/>
          <w:lang w:val="en-US"/>
        </w:rPr>
      </w:pPr>
      <w:r w:rsidRPr="00341848">
        <w:rPr>
          <w:rFonts w:cstheme="majorHAnsi"/>
          <w:b/>
          <w:szCs w:val="26"/>
          <w:lang w:val="en-US"/>
        </w:rPr>
        <w:t>Abstract</w:t>
      </w:r>
    </w:p>
    <w:p w14:paraId="0499E7DC" w14:textId="01230D1D" w:rsidR="00CF14FD" w:rsidRDefault="00CF14FD" w:rsidP="00361353">
      <w:pPr>
        <w:spacing w:after="0" w:line="360" w:lineRule="auto"/>
        <w:rPr>
          <w:rFonts w:cstheme="majorHAnsi"/>
          <w:szCs w:val="26"/>
          <w:lang w:val="en-US"/>
        </w:rPr>
      </w:pPr>
      <w:r w:rsidRPr="00CF14FD">
        <w:rPr>
          <w:rFonts w:cstheme="majorHAnsi"/>
          <w:szCs w:val="26"/>
          <w:lang w:val="en-US"/>
        </w:rPr>
        <w:t xml:space="preserve">The research was conducted to provide empirical evidence of the correlation between </w:t>
      </w:r>
      <w:r>
        <w:rPr>
          <w:rFonts w:cstheme="majorHAnsi"/>
          <w:szCs w:val="26"/>
          <w:lang w:val="en-US"/>
        </w:rPr>
        <w:t xml:space="preserve">going concern and </w:t>
      </w:r>
      <w:r w:rsidR="0017148D">
        <w:rPr>
          <w:rFonts w:cstheme="majorHAnsi"/>
          <w:szCs w:val="26"/>
          <w:lang w:val="en-US"/>
        </w:rPr>
        <w:t>financial reporting quality</w:t>
      </w:r>
      <w:r>
        <w:rPr>
          <w:rFonts w:cstheme="majorHAnsi"/>
          <w:szCs w:val="26"/>
          <w:lang w:val="en-US"/>
        </w:rPr>
        <w:t xml:space="preserve"> </w:t>
      </w:r>
      <w:r w:rsidRPr="00CF14FD">
        <w:rPr>
          <w:rFonts w:cstheme="majorHAnsi"/>
          <w:szCs w:val="26"/>
          <w:lang w:val="en-US"/>
        </w:rPr>
        <w:t xml:space="preserve">of </w:t>
      </w:r>
      <w:r>
        <w:rPr>
          <w:rFonts w:cstheme="majorHAnsi"/>
          <w:szCs w:val="26"/>
          <w:lang w:val="en-US"/>
        </w:rPr>
        <w:t>listed firms</w:t>
      </w:r>
      <w:r w:rsidRPr="00CF14FD">
        <w:rPr>
          <w:rFonts w:cstheme="majorHAnsi"/>
          <w:szCs w:val="26"/>
          <w:lang w:val="en-US"/>
        </w:rPr>
        <w:t xml:space="preserve"> on the Vietnam stock market. Based on data from 279 companies listed on the </w:t>
      </w:r>
      <w:r>
        <w:rPr>
          <w:rFonts w:cstheme="majorHAnsi"/>
          <w:szCs w:val="26"/>
          <w:lang w:val="en-US"/>
        </w:rPr>
        <w:t>HNX and HOSE</w:t>
      </w:r>
      <w:r w:rsidRPr="00CF14FD">
        <w:rPr>
          <w:rFonts w:cstheme="majorHAnsi"/>
          <w:szCs w:val="26"/>
          <w:lang w:val="en-US"/>
        </w:rPr>
        <w:t xml:space="preserve"> exchanges in Vietnam for the period 2009-2015, the quantitative research</w:t>
      </w:r>
      <w:r>
        <w:rPr>
          <w:rFonts w:cstheme="majorHAnsi"/>
          <w:szCs w:val="26"/>
          <w:lang w:val="en-US"/>
        </w:rPr>
        <w:t>. Results</w:t>
      </w:r>
      <w:r w:rsidRPr="00CF14FD">
        <w:rPr>
          <w:rFonts w:cstheme="majorHAnsi"/>
          <w:szCs w:val="26"/>
          <w:lang w:val="en-US"/>
        </w:rPr>
        <w:t xml:space="preserve"> found that the correlation between the </w:t>
      </w:r>
      <w:r>
        <w:rPr>
          <w:rFonts w:cstheme="majorHAnsi"/>
          <w:szCs w:val="26"/>
          <w:lang w:val="en-US"/>
        </w:rPr>
        <w:t xml:space="preserve">going concern and </w:t>
      </w:r>
      <w:r w:rsidR="0017148D">
        <w:rPr>
          <w:rFonts w:cstheme="majorHAnsi"/>
          <w:szCs w:val="26"/>
          <w:lang w:val="en-US"/>
        </w:rPr>
        <w:t>financial reporting quality</w:t>
      </w:r>
      <w:r>
        <w:rPr>
          <w:rFonts w:cstheme="majorHAnsi"/>
          <w:szCs w:val="26"/>
          <w:lang w:val="en-US"/>
        </w:rPr>
        <w:t xml:space="preserve"> </w:t>
      </w:r>
      <w:r w:rsidRPr="00CF14FD">
        <w:rPr>
          <w:rFonts w:cstheme="majorHAnsi"/>
          <w:szCs w:val="26"/>
          <w:lang w:val="en-US"/>
        </w:rPr>
        <w:t xml:space="preserve">of </w:t>
      </w:r>
      <w:r>
        <w:rPr>
          <w:rFonts w:cstheme="majorHAnsi"/>
          <w:szCs w:val="26"/>
          <w:lang w:val="en-US"/>
        </w:rPr>
        <w:t>listed firms</w:t>
      </w:r>
      <w:r w:rsidRPr="00CF14FD">
        <w:rPr>
          <w:rFonts w:cstheme="majorHAnsi"/>
          <w:szCs w:val="26"/>
          <w:lang w:val="en-US"/>
        </w:rPr>
        <w:t>. Research results are significant for investors, regulators, and contributors to the transparency of financial reporting information.</w:t>
      </w:r>
    </w:p>
    <w:p w14:paraId="1C056743" w14:textId="346E8FA7" w:rsidR="009A0834" w:rsidRPr="00341848" w:rsidRDefault="009A0834" w:rsidP="00361353">
      <w:pPr>
        <w:spacing w:after="0" w:line="360" w:lineRule="auto"/>
        <w:rPr>
          <w:rFonts w:cstheme="majorHAnsi"/>
          <w:szCs w:val="26"/>
          <w:lang w:val="en-US"/>
        </w:rPr>
      </w:pPr>
      <w:r w:rsidRPr="00341848">
        <w:rPr>
          <w:rFonts w:cstheme="majorHAnsi"/>
          <w:b/>
          <w:i/>
          <w:szCs w:val="26"/>
          <w:lang w:val="en-US"/>
        </w:rPr>
        <w:lastRenderedPageBreak/>
        <w:t>Key words</w:t>
      </w:r>
      <w:r w:rsidRPr="00341848">
        <w:rPr>
          <w:rFonts w:cstheme="majorHAnsi"/>
          <w:b/>
          <w:szCs w:val="26"/>
          <w:lang w:val="en-US"/>
        </w:rPr>
        <w:t>:</w:t>
      </w:r>
      <w:r w:rsidRPr="00341848">
        <w:rPr>
          <w:rFonts w:cstheme="majorHAnsi"/>
          <w:szCs w:val="26"/>
          <w:lang w:val="en-US"/>
        </w:rPr>
        <w:t xml:space="preserve"> </w:t>
      </w:r>
      <w:r w:rsidR="00CF28B9">
        <w:rPr>
          <w:rFonts w:cstheme="majorHAnsi"/>
          <w:szCs w:val="26"/>
          <w:lang w:val="en-US"/>
        </w:rPr>
        <w:t>going concern</w:t>
      </w:r>
      <w:r w:rsidR="002249A8" w:rsidRPr="00341848">
        <w:rPr>
          <w:rFonts w:cstheme="majorHAnsi"/>
          <w:szCs w:val="26"/>
          <w:lang w:val="en-US"/>
        </w:rPr>
        <w:t xml:space="preserve">, </w:t>
      </w:r>
      <w:r w:rsidR="00E61202">
        <w:rPr>
          <w:rFonts w:cstheme="majorHAnsi"/>
          <w:szCs w:val="26"/>
          <w:lang w:val="en-US"/>
        </w:rPr>
        <w:t>financial reporting quality</w:t>
      </w:r>
      <w:r w:rsidR="006E36EE" w:rsidRPr="00341848">
        <w:rPr>
          <w:rFonts w:cstheme="majorHAnsi"/>
          <w:szCs w:val="26"/>
          <w:lang w:val="en-US"/>
        </w:rPr>
        <w:t>,</w:t>
      </w:r>
      <w:r w:rsidR="00970B22" w:rsidRPr="00341848">
        <w:rPr>
          <w:rFonts w:cstheme="majorHAnsi"/>
          <w:szCs w:val="26"/>
          <w:lang w:val="en-US"/>
        </w:rPr>
        <w:t xml:space="preserve"> </w:t>
      </w:r>
      <w:r w:rsidR="00CF28B9">
        <w:rPr>
          <w:rFonts w:cstheme="majorHAnsi"/>
          <w:szCs w:val="26"/>
          <w:lang w:val="en-US"/>
        </w:rPr>
        <w:t>listed firms</w:t>
      </w:r>
      <w:r w:rsidR="00970B22" w:rsidRPr="00341848">
        <w:rPr>
          <w:rFonts w:cstheme="majorHAnsi"/>
          <w:szCs w:val="26"/>
          <w:lang w:val="en-US"/>
        </w:rPr>
        <w:t>.</w:t>
      </w:r>
    </w:p>
    <w:p w14:paraId="16574717" w14:textId="77777777" w:rsidR="00BA0856" w:rsidRPr="00341848" w:rsidRDefault="003C02C6" w:rsidP="00361353">
      <w:pPr>
        <w:pStyle w:val="ListParagraph"/>
        <w:numPr>
          <w:ilvl w:val="0"/>
          <w:numId w:val="1"/>
        </w:numPr>
        <w:spacing w:after="0" w:line="360" w:lineRule="auto"/>
        <w:ind w:left="0" w:firstLine="0"/>
        <w:rPr>
          <w:rFonts w:cstheme="majorHAnsi"/>
          <w:b/>
          <w:szCs w:val="26"/>
          <w:lang w:val="en-US"/>
        </w:rPr>
      </w:pPr>
      <w:r w:rsidRPr="00341848">
        <w:rPr>
          <w:rFonts w:cstheme="majorHAnsi"/>
          <w:b/>
          <w:szCs w:val="26"/>
          <w:lang w:val="en-US"/>
        </w:rPr>
        <w:t>Giới thiệu</w:t>
      </w:r>
    </w:p>
    <w:p w14:paraId="153C9582" w14:textId="77777777" w:rsidR="007F6635" w:rsidRDefault="00B8557F" w:rsidP="00566B93">
      <w:pPr>
        <w:spacing w:after="0" w:line="360" w:lineRule="auto"/>
        <w:ind w:firstLine="720"/>
        <w:rPr>
          <w:rFonts w:cstheme="majorHAnsi"/>
          <w:szCs w:val="26"/>
          <w:lang w:val="en-US"/>
        </w:rPr>
      </w:pPr>
      <w:r w:rsidRPr="00341848">
        <w:rPr>
          <w:rFonts w:cstheme="majorHAnsi"/>
          <w:szCs w:val="26"/>
          <w:lang w:val="en-US"/>
        </w:rPr>
        <w:t xml:space="preserve">Việt Nam đang </w:t>
      </w:r>
      <w:r w:rsidR="00BC70BE" w:rsidRPr="00341848">
        <w:rPr>
          <w:rFonts w:cstheme="majorHAnsi"/>
          <w:szCs w:val="26"/>
          <w:lang w:val="en-US"/>
        </w:rPr>
        <w:t>bước vào giai đoạn hội nhập</w:t>
      </w:r>
      <w:r w:rsidRPr="00341848">
        <w:rPr>
          <w:rFonts w:cstheme="majorHAnsi"/>
          <w:szCs w:val="26"/>
          <w:lang w:val="en-US"/>
        </w:rPr>
        <w:t xml:space="preserve"> ngày càng sâu rộng</w:t>
      </w:r>
      <w:r w:rsidR="00BC70BE" w:rsidRPr="00341848">
        <w:rPr>
          <w:rFonts w:cstheme="majorHAnsi"/>
          <w:szCs w:val="26"/>
          <w:lang w:val="en-US"/>
        </w:rPr>
        <w:t xml:space="preserve"> </w:t>
      </w:r>
      <w:r w:rsidRPr="00341848">
        <w:rPr>
          <w:rFonts w:cstheme="majorHAnsi"/>
          <w:szCs w:val="26"/>
          <w:lang w:val="en-US"/>
        </w:rPr>
        <w:t xml:space="preserve">và </w:t>
      </w:r>
      <w:r w:rsidR="00BC70BE" w:rsidRPr="00341848">
        <w:rPr>
          <w:rFonts w:cstheme="majorHAnsi"/>
          <w:szCs w:val="26"/>
          <w:lang w:val="en-US"/>
        </w:rPr>
        <w:t xml:space="preserve">phấn đấu thành nước có nền công nghiệp phát triển. </w:t>
      </w:r>
      <w:r w:rsidR="00CE21F7" w:rsidRPr="00341848">
        <w:rPr>
          <w:rFonts w:cstheme="majorHAnsi"/>
          <w:szCs w:val="26"/>
          <w:lang w:val="en-US"/>
        </w:rPr>
        <w:t>Do đó, sự phát triển của</w:t>
      </w:r>
      <w:r w:rsidR="00BC70BE" w:rsidRPr="00341848">
        <w:rPr>
          <w:rFonts w:cstheme="majorHAnsi"/>
          <w:szCs w:val="26"/>
          <w:lang w:val="en-US"/>
        </w:rPr>
        <w:t xml:space="preserve"> thị trường chứng khoán đóng vai trò quan trọng trong việ</w:t>
      </w:r>
      <w:r w:rsidRPr="00341848">
        <w:rPr>
          <w:rFonts w:cstheme="majorHAnsi"/>
          <w:szCs w:val="26"/>
          <w:lang w:val="en-US"/>
        </w:rPr>
        <w:t>c thúc đẩy</w:t>
      </w:r>
      <w:r w:rsidR="00BC70BE" w:rsidRPr="00341848">
        <w:rPr>
          <w:rFonts w:cstheme="majorHAnsi"/>
          <w:szCs w:val="26"/>
          <w:lang w:val="en-US"/>
        </w:rPr>
        <w:t xml:space="preserve"> phát triển vững chắc thị trường vốn Việt Nam. </w:t>
      </w:r>
      <w:r w:rsidRPr="00341848">
        <w:rPr>
          <w:rFonts w:cstheme="majorHAnsi"/>
          <w:szCs w:val="26"/>
          <w:lang w:val="en-US"/>
        </w:rPr>
        <w:t>S</w:t>
      </w:r>
      <w:r w:rsidR="00BC70BE" w:rsidRPr="00341848">
        <w:rPr>
          <w:rFonts w:cstheme="majorHAnsi"/>
          <w:szCs w:val="26"/>
          <w:lang w:val="en-US"/>
        </w:rPr>
        <w:t xml:space="preserve">ự tách biệt giữa </w:t>
      </w:r>
      <w:r w:rsidRPr="00341848">
        <w:rPr>
          <w:rFonts w:cstheme="majorHAnsi"/>
          <w:szCs w:val="26"/>
          <w:lang w:val="en-US"/>
        </w:rPr>
        <w:t xml:space="preserve">quyền </w:t>
      </w:r>
      <w:r w:rsidR="00BC70BE" w:rsidRPr="00341848">
        <w:rPr>
          <w:rFonts w:cstheme="majorHAnsi"/>
          <w:szCs w:val="26"/>
          <w:lang w:val="en-US"/>
        </w:rPr>
        <w:t>sở hữ</w:t>
      </w:r>
      <w:r w:rsidR="00CD78D1" w:rsidRPr="00341848">
        <w:rPr>
          <w:rFonts w:cstheme="majorHAnsi"/>
          <w:szCs w:val="26"/>
          <w:lang w:val="en-US"/>
        </w:rPr>
        <w:t xml:space="preserve">u </w:t>
      </w:r>
      <w:r w:rsidR="002F3101" w:rsidRPr="00341848">
        <w:rPr>
          <w:rFonts w:cstheme="majorHAnsi"/>
          <w:szCs w:val="26"/>
          <w:lang w:val="en-US"/>
        </w:rPr>
        <w:t>doanh nghiệp</w:t>
      </w:r>
      <w:r w:rsidR="00BC70BE" w:rsidRPr="00341848">
        <w:rPr>
          <w:rFonts w:cstheme="majorHAnsi"/>
          <w:szCs w:val="26"/>
          <w:lang w:val="en-US"/>
        </w:rPr>
        <w:t xml:space="preserve"> và </w:t>
      </w:r>
      <w:r w:rsidRPr="00341848">
        <w:rPr>
          <w:rFonts w:cstheme="majorHAnsi"/>
          <w:szCs w:val="26"/>
          <w:lang w:val="en-US"/>
        </w:rPr>
        <w:t xml:space="preserve">quyền </w:t>
      </w:r>
      <w:r w:rsidR="00BC70BE" w:rsidRPr="00341848">
        <w:rPr>
          <w:rFonts w:cstheme="majorHAnsi"/>
          <w:szCs w:val="26"/>
          <w:lang w:val="en-US"/>
        </w:rPr>
        <w:t xml:space="preserve">quản lý </w:t>
      </w:r>
      <w:r w:rsidR="002F3101" w:rsidRPr="00341848">
        <w:rPr>
          <w:rFonts w:cstheme="majorHAnsi"/>
          <w:szCs w:val="26"/>
          <w:lang w:val="en-US"/>
        </w:rPr>
        <w:t>doanh nghiệp</w:t>
      </w:r>
      <w:r w:rsidRPr="00341848">
        <w:rPr>
          <w:rFonts w:cstheme="majorHAnsi"/>
          <w:szCs w:val="26"/>
          <w:lang w:val="en-US"/>
        </w:rPr>
        <w:t xml:space="preserve"> trong các công ty cổ phần trên thị trường chứng khoán</w:t>
      </w:r>
      <w:r w:rsidR="00BC70BE" w:rsidRPr="00341848">
        <w:rPr>
          <w:rFonts w:cstheme="majorHAnsi"/>
          <w:szCs w:val="26"/>
          <w:lang w:val="en-US"/>
        </w:rPr>
        <w:t xml:space="preserve">, </w:t>
      </w:r>
      <w:r w:rsidRPr="00341848">
        <w:rPr>
          <w:rFonts w:cstheme="majorHAnsi"/>
          <w:szCs w:val="26"/>
          <w:lang w:val="en-US"/>
        </w:rPr>
        <w:t xml:space="preserve">một mặt </w:t>
      </w:r>
      <w:r w:rsidR="00BC70BE" w:rsidRPr="00341848">
        <w:rPr>
          <w:rFonts w:cstheme="majorHAnsi"/>
          <w:szCs w:val="26"/>
          <w:lang w:val="en-US"/>
        </w:rPr>
        <w:t xml:space="preserve">mang đến rất nhiều thuận lợi như việc chuyển nhượng quyền sở hữu không ảnh hưởng đến hoạt động kinh doanh của </w:t>
      </w:r>
      <w:r w:rsidR="002F3101" w:rsidRPr="00341848">
        <w:rPr>
          <w:rFonts w:cstheme="majorHAnsi"/>
          <w:szCs w:val="26"/>
          <w:lang w:val="en-US"/>
        </w:rPr>
        <w:t>doanh nghiệp</w:t>
      </w:r>
      <w:r w:rsidR="00BC70BE" w:rsidRPr="00341848">
        <w:rPr>
          <w:rFonts w:cstheme="majorHAnsi"/>
          <w:szCs w:val="26"/>
          <w:lang w:val="en-US"/>
        </w:rPr>
        <w:t xml:space="preserve">, </w:t>
      </w:r>
      <w:r w:rsidRPr="00341848">
        <w:rPr>
          <w:rFonts w:cstheme="majorHAnsi"/>
          <w:szCs w:val="26"/>
          <w:lang w:val="en-US"/>
        </w:rPr>
        <w:t xml:space="preserve">nhưng mặt khác, </w:t>
      </w:r>
      <w:r w:rsidR="00BC70BE" w:rsidRPr="00341848">
        <w:rPr>
          <w:rFonts w:cstheme="majorHAnsi"/>
          <w:szCs w:val="26"/>
          <w:lang w:val="en-US"/>
        </w:rPr>
        <w:t>việc tách biệt này lại dẫn tới một vấn đề nổi bật khác – vấn đề đại diện, hay còn gọi là vấn đề về xung đột lợi ích giữa nhà quản lý và các chủ sở hữu</w:t>
      </w:r>
      <w:r w:rsidR="00CE21F7" w:rsidRPr="00341848">
        <w:rPr>
          <w:rFonts w:cstheme="majorHAnsi"/>
          <w:szCs w:val="26"/>
          <w:lang w:val="en-US"/>
        </w:rPr>
        <w:t>.</w:t>
      </w:r>
    </w:p>
    <w:p w14:paraId="0B87E444" w14:textId="6625BAC8" w:rsidR="007F6635" w:rsidRDefault="0058395A" w:rsidP="00566B93">
      <w:pPr>
        <w:spacing w:after="0" w:line="360" w:lineRule="auto"/>
        <w:ind w:firstLine="720"/>
        <w:rPr>
          <w:rFonts w:cstheme="majorHAnsi"/>
          <w:szCs w:val="26"/>
          <w:lang w:val="en-US"/>
        </w:rPr>
      </w:pPr>
      <w:r w:rsidRPr="0058395A">
        <w:rPr>
          <w:rFonts w:cstheme="majorHAnsi"/>
          <w:szCs w:val="26"/>
          <w:lang w:val="en-US"/>
        </w:rPr>
        <w:t>Hiện nay, BCTC của các doanh nghiệp Việt Nam ngày càng trở nên trung thực và minh bạch hơn do các quy định của Nhà nước ngày càng rõ ràng và tiếp cận dần tới chuẩn mực và thông lệ quốc tế. Đặc biệt BCTC của các doanh nghiệp sau khi đã được kiểm toán thì độ rủi ro đã được hạn chế một phần thông qua quá trình soát xét của các doanh nghiệp kiể</w:t>
      </w:r>
      <w:r>
        <w:rPr>
          <w:rFonts w:cstheme="majorHAnsi"/>
          <w:szCs w:val="26"/>
          <w:lang w:val="en-US"/>
        </w:rPr>
        <w:t>m toán (DNKT)</w:t>
      </w:r>
      <w:r w:rsidR="007F6635" w:rsidRPr="007F6635">
        <w:rPr>
          <w:rFonts w:cstheme="majorHAnsi"/>
          <w:szCs w:val="26"/>
          <w:lang w:val="en-US"/>
        </w:rPr>
        <w:t>.</w:t>
      </w:r>
    </w:p>
    <w:p w14:paraId="06691E65" w14:textId="477E6E46" w:rsidR="006A1713" w:rsidRDefault="006A1713" w:rsidP="00566B93">
      <w:pPr>
        <w:spacing w:after="0" w:line="360" w:lineRule="auto"/>
        <w:ind w:firstLine="720"/>
        <w:rPr>
          <w:rFonts w:cstheme="majorHAnsi"/>
          <w:szCs w:val="26"/>
          <w:lang w:val="en-US"/>
        </w:rPr>
      </w:pPr>
      <w:r w:rsidRPr="006A1713">
        <w:rPr>
          <w:rFonts w:cstheme="majorHAnsi"/>
          <w:szCs w:val="26"/>
          <w:lang w:val="en-US"/>
        </w:rPr>
        <w:t>KNHĐLT</w:t>
      </w:r>
      <w:r w:rsidR="00D23684">
        <w:rPr>
          <w:rFonts w:cstheme="majorHAnsi"/>
          <w:szCs w:val="26"/>
          <w:lang w:val="en-US"/>
        </w:rPr>
        <w:t xml:space="preserve"> </w:t>
      </w:r>
      <w:r w:rsidRPr="006A1713">
        <w:rPr>
          <w:rFonts w:cstheme="majorHAnsi"/>
          <w:szCs w:val="26"/>
          <w:lang w:val="en-US"/>
        </w:rPr>
        <w:t xml:space="preserve">trong kế toán cho biết doanh nghiệp có còn đủ nguồn lực để tồn tại trong tương lai hay không. KNHĐLT là một trong hai giả thiết cơ bản của kế toán. Khi giả thiết HĐLT của doanh nghiệp bị vi phạm thì các nguyên tắc, phương pháp, chuẩn mực kế toán áp dụng sẽ thay đổi.HVĐCTN đang trở nên phổ biến trong những năm gần đây, đặc biệt là ở các công ty niêm yết và gây tổn thất về tài chính và làm giảm niềm tin của công chúng như trường hợp Bông Bạch Tuyết, Dược Viễn Đông...  </w:t>
      </w:r>
    </w:p>
    <w:p w14:paraId="6919FAEF" w14:textId="050DCE7D" w:rsidR="007F6635" w:rsidRPr="007F6635" w:rsidRDefault="00566B93" w:rsidP="00904300">
      <w:pPr>
        <w:spacing w:after="0" w:line="360" w:lineRule="auto"/>
        <w:ind w:firstLine="720"/>
        <w:rPr>
          <w:rFonts w:cstheme="majorHAnsi"/>
          <w:szCs w:val="26"/>
          <w:lang w:val="en-US"/>
        </w:rPr>
      </w:pPr>
      <w:r w:rsidRPr="00566B93">
        <w:rPr>
          <w:rFonts w:cstheme="majorHAnsi"/>
          <w:szCs w:val="26"/>
          <w:lang w:val="en-US"/>
        </w:rPr>
        <w:t xml:space="preserve">Theo các nghiên cứu trước đây, </w:t>
      </w:r>
      <w:r w:rsidR="00FD0FA1">
        <w:rPr>
          <w:rFonts w:cstheme="majorHAnsi"/>
          <w:szCs w:val="26"/>
          <w:lang w:val="en-US"/>
        </w:rPr>
        <w:t>có nhiều nghiên cứu</w:t>
      </w:r>
      <w:r w:rsidRPr="00566B93">
        <w:rPr>
          <w:rFonts w:cstheme="majorHAnsi"/>
          <w:szCs w:val="26"/>
          <w:lang w:val="en-US"/>
        </w:rPr>
        <w:t xml:space="preserve"> xem xét </w:t>
      </w:r>
      <w:r w:rsidR="00FD0FA1">
        <w:rPr>
          <w:rFonts w:cstheme="majorHAnsi"/>
          <w:szCs w:val="26"/>
          <w:lang w:val="en-US"/>
        </w:rPr>
        <w:t>đến chất lượng báo cáo tài chính</w:t>
      </w:r>
      <w:r w:rsidRPr="00566B93">
        <w:rPr>
          <w:rFonts w:cstheme="majorHAnsi"/>
          <w:szCs w:val="26"/>
          <w:lang w:val="en-US"/>
        </w:rPr>
        <w:t xml:space="preserve"> khác nhau tập trung vào độ chính xác của thông tin kế toán: (1) mô hình thu nhập tùy ý do McNichols và Stubben phát triển (2008); (2) mô hình của các khoản </w:t>
      </w:r>
      <w:r w:rsidR="00904300">
        <w:rPr>
          <w:rFonts w:cstheme="majorHAnsi"/>
          <w:szCs w:val="26"/>
          <w:lang w:val="en-US"/>
        </w:rPr>
        <w:t>dồn tích tùy ý</w:t>
      </w:r>
      <w:r w:rsidRPr="00566B93">
        <w:rPr>
          <w:rFonts w:cstheme="majorHAnsi"/>
          <w:szCs w:val="26"/>
          <w:lang w:val="en-US"/>
        </w:rPr>
        <w:t xml:space="preserve"> của Kasznik (1999); (3) mô hình chất lượng dồn tích củ</w:t>
      </w:r>
      <w:r w:rsidR="00904300">
        <w:rPr>
          <w:rFonts w:cstheme="majorHAnsi"/>
          <w:szCs w:val="26"/>
          <w:lang w:val="en-US"/>
        </w:rPr>
        <w:t>a Dechow và Dichev (2002)</w:t>
      </w:r>
      <w:r w:rsidRPr="00566B93">
        <w:rPr>
          <w:rFonts w:cstheme="majorHAnsi"/>
          <w:szCs w:val="26"/>
          <w:lang w:val="en-US"/>
        </w:rPr>
        <w:t xml:space="preserve">. </w:t>
      </w:r>
      <w:r w:rsidR="00904300">
        <w:rPr>
          <w:rFonts w:cstheme="majorHAnsi"/>
          <w:szCs w:val="26"/>
          <w:lang w:val="en-US"/>
        </w:rPr>
        <w:t xml:space="preserve"> Trong đó, mô hình của Dechow và Dichev (2002) rất phổ biến và được nhiều nhà nghiên cứu sử dụng. </w:t>
      </w:r>
      <w:r w:rsidR="007F6635" w:rsidRPr="007F6635">
        <w:rPr>
          <w:rFonts w:cstheme="majorHAnsi"/>
          <w:szCs w:val="26"/>
          <w:lang w:val="en-US"/>
        </w:rPr>
        <w:t>Tại Việt Nam</w:t>
      </w:r>
      <w:r w:rsidR="00CC0007">
        <w:rPr>
          <w:rFonts w:cstheme="majorHAnsi"/>
          <w:szCs w:val="26"/>
          <w:lang w:val="en-US"/>
        </w:rPr>
        <w:t>,</w:t>
      </w:r>
      <w:r w:rsidR="007F6635" w:rsidRPr="007F6635">
        <w:rPr>
          <w:rFonts w:cstheme="majorHAnsi"/>
          <w:szCs w:val="26"/>
          <w:lang w:val="en-US"/>
        </w:rPr>
        <w:t xml:space="preserve"> có nghiên cứu của </w:t>
      </w:r>
      <w:r w:rsidR="00D5642E" w:rsidRPr="00D5642E">
        <w:rPr>
          <w:rFonts w:cstheme="majorHAnsi"/>
          <w:szCs w:val="26"/>
          <w:lang w:val="en-US"/>
        </w:rPr>
        <w:t>Đỗ Thị Vân Trang</w:t>
      </w:r>
      <w:r w:rsidR="007F6635" w:rsidRPr="007F6635">
        <w:rPr>
          <w:rFonts w:cstheme="majorHAnsi"/>
          <w:szCs w:val="26"/>
          <w:lang w:val="en-US"/>
        </w:rPr>
        <w:t xml:space="preserve"> (20</w:t>
      </w:r>
      <w:r w:rsidR="0037649E">
        <w:rPr>
          <w:rFonts w:cstheme="majorHAnsi"/>
          <w:szCs w:val="26"/>
          <w:lang w:val="en-US"/>
        </w:rPr>
        <w:t>15</w:t>
      </w:r>
      <w:r w:rsidR="00A975BB">
        <w:rPr>
          <w:rFonts w:cstheme="majorHAnsi"/>
          <w:szCs w:val="26"/>
          <w:lang w:val="en-US"/>
        </w:rPr>
        <w:t>), Đinh Thị Thu Thảo và Nguyễn Vĩnh Khương (201</w:t>
      </w:r>
      <w:r w:rsidR="00351473">
        <w:rPr>
          <w:rFonts w:cstheme="majorHAnsi"/>
          <w:szCs w:val="26"/>
          <w:lang w:val="en-US"/>
        </w:rPr>
        <w:t xml:space="preserve">6), </w:t>
      </w:r>
      <w:r w:rsidR="00351473" w:rsidRPr="00351473">
        <w:rPr>
          <w:rFonts w:cstheme="majorHAnsi"/>
          <w:szCs w:val="26"/>
          <w:lang w:val="en-US"/>
        </w:rPr>
        <w:t>Trần Thị Thùy Linh, Mai Hoàng Hạnh</w:t>
      </w:r>
      <w:r w:rsidR="00351473">
        <w:rPr>
          <w:rFonts w:cstheme="majorHAnsi"/>
          <w:szCs w:val="26"/>
          <w:lang w:val="en-US"/>
        </w:rPr>
        <w:t xml:space="preserve"> (2015), </w:t>
      </w:r>
      <w:r w:rsidR="0055558E" w:rsidRPr="0055558E">
        <w:rPr>
          <w:rFonts w:cstheme="majorHAnsi"/>
          <w:szCs w:val="26"/>
          <w:lang w:val="en-US"/>
        </w:rPr>
        <w:t>Trương Thị Thùy Dương</w:t>
      </w:r>
      <w:r w:rsidR="0055558E">
        <w:rPr>
          <w:rFonts w:cstheme="majorHAnsi"/>
          <w:szCs w:val="26"/>
          <w:lang w:val="en-US"/>
        </w:rPr>
        <w:t xml:space="preserve"> (2017).</w:t>
      </w:r>
    </w:p>
    <w:p w14:paraId="51047E1E" w14:textId="5ADB407A" w:rsidR="007F6635" w:rsidRDefault="007F6635" w:rsidP="007F6635">
      <w:pPr>
        <w:spacing w:after="0" w:line="360" w:lineRule="auto"/>
        <w:rPr>
          <w:rFonts w:cstheme="majorHAnsi"/>
          <w:szCs w:val="26"/>
          <w:lang w:val="en-US"/>
        </w:rPr>
      </w:pPr>
      <w:r w:rsidRPr="007F6635">
        <w:rPr>
          <w:rFonts w:cstheme="majorHAnsi"/>
          <w:szCs w:val="26"/>
          <w:lang w:val="en-US"/>
        </w:rPr>
        <w:lastRenderedPageBreak/>
        <w:t>Tuy nhiên những nghiên cứu trong nước hầu hết chỉ</w:t>
      </w:r>
      <w:r w:rsidR="00D23684">
        <w:rPr>
          <w:rFonts w:cstheme="majorHAnsi"/>
          <w:szCs w:val="26"/>
          <w:lang w:val="en-US"/>
        </w:rPr>
        <w:t xml:space="preserve"> nghiên cứu riêng lẻ về</w:t>
      </w:r>
      <w:r w:rsidR="00E94B79">
        <w:rPr>
          <w:rFonts w:cstheme="majorHAnsi"/>
          <w:szCs w:val="26"/>
          <w:lang w:val="en-US"/>
        </w:rPr>
        <w:t xml:space="preserve"> chất lượng báo cáo tài chính</w:t>
      </w:r>
      <w:r w:rsidR="00D23684">
        <w:rPr>
          <w:rFonts w:cstheme="majorHAnsi"/>
          <w:szCs w:val="26"/>
          <w:lang w:val="en-US"/>
        </w:rPr>
        <w:t xml:space="preserve"> hoặc khả năng hoạt động liên tục mà chưa có nghiên cứu về mối quan hệ này</w:t>
      </w:r>
      <w:r w:rsidRPr="007F6635">
        <w:rPr>
          <w:rFonts w:cstheme="majorHAnsi"/>
          <w:szCs w:val="26"/>
          <w:lang w:val="en-US"/>
        </w:rPr>
        <w:t xml:space="preserve">. </w:t>
      </w:r>
    </w:p>
    <w:p w14:paraId="7F5C9966" w14:textId="22F2E3EF" w:rsidR="00701F83" w:rsidRPr="00341848" w:rsidRDefault="00CE21F7" w:rsidP="00701F83">
      <w:pPr>
        <w:spacing w:after="0" w:line="360" w:lineRule="auto"/>
        <w:rPr>
          <w:rFonts w:cstheme="majorHAnsi"/>
          <w:szCs w:val="26"/>
          <w:lang w:val="en-US"/>
        </w:rPr>
      </w:pPr>
      <w:r w:rsidRPr="00341848">
        <w:rPr>
          <w:rFonts w:cstheme="majorHAnsi"/>
          <w:szCs w:val="26"/>
          <w:lang w:val="en-US"/>
        </w:rPr>
        <w:t>Nghiên cứu này thực hiện nhằm</w:t>
      </w:r>
      <w:r w:rsidR="00701F83" w:rsidRPr="00341848">
        <w:rPr>
          <w:rFonts w:cstheme="majorHAnsi"/>
          <w:szCs w:val="26"/>
          <w:lang w:val="en-US"/>
        </w:rPr>
        <w:t xml:space="preserve"> đánh giá tác động của </w:t>
      </w:r>
      <w:r w:rsidR="00D23684">
        <w:rPr>
          <w:rFonts w:cstheme="majorHAnsi"/>
          <w:szCs w:val="26"/>
          <w:lang w:val="en-US"/>
        </w:rPr>
        <w:t xml:space="preserve">khả năng hoạt động liên tục </w:t>
      </w:r>
      <w:r w:rsidR="00701F83" w:rsidRPr="00341848">
        <w:rPr>
          <w:rFonts w:cstheme="majorHAnsi"/>
          <w:szCs w:val="26"/>
          <w:lang w:val="en-US"/>
        </w:rPr>
        <w:t xml:space="preserve">đến </w:t>
      </w:r>
      <w:r w:rsidR="008C62EC">
        <w:rPr>
          <w:rFonts w:cstheme="majorHAnsi"/>
          <w:szCs w:val="26"/>
          <w:lang w:val="en-US"/>
        </w:rPr>
        <w:t xml:space="preserve">chất lượng báo cáo tài chính </w:t>
      </w:r>
      <w:r w:rsidR="00701F83" w:rsidRPr="00341848">
        <w:rPr>
          <w:rFonts w:cstheme="majorHAnsi"/>
          <w:szCs w:val="26"/>
          <w:lang w:val="en-US"/>
        </w:rPr>
        <w:t>của các công ty niêm yết trên thị trường chứng khoán Việ</w:t>
      </w:r>
      <w:r w:rsidRPr="00341848">
        <w:rPr>
          <w:rFonts w:cstheme="majorHAnsi"/>
          <w:szCs w:val="26"/>
          <w:lang w:val="en-US"/>
        </w:rPr>
        <w:t>t Nam</w:t>
      </w:r>
      <w:r w:rsidR="00701F83" w:rsidRPr="00341848">
        <w:rPr>
          <w:rFonts w:cstheme="majorHAnsi"/>
          <w:szCs w:val="26"/>
          <w:lang w:val="en-US"/>
        </w:rPr>
        <w:t xml:space="preserve"> </w:t>
      </w:r>
      <w:r w:rsidRPr="00341848">
        <w:rPr>
          <w:rFonts w:cstheme="majorHAnsi"/>
          <w:szCs w:val="26"/>
          <w:lang w:val="en-US"/>
        </w:rPr>
        <w:t xml:space="preserve">dựa trên phương pháp nghiên cứu định lượng phù hợp với dữ liệu bảng và </w:t>
      </w:r>
      <w:r w:rsidR="00701F83" w:rsidRPr="00341848">
        <w:rPr>
          <w:rFonts w:cstheme="majorHAnsi"/>
          <w:szCs w:val="26"/>
          <w:lang w:val="en-US"/>
        </w:rPr>
        <w:t>dữ liệu củ</w:t>
      </w:r>
      <w:r w:rsidR="00D23684">
        <w:rPr>
          <w:rFonts w:cstheme="majorHAnsi"/>
          <w:szCs w:val="26"/>
          <w:lang w:val="en-US"/>
        </w:rPr>
        <w:t>a 279 của tất cả các</w:t>
      </w:r>
      <w:r w:rsidR="00701F83" w:rsidRPr="00341848">
        <w:rPr>
          <w:rFonts w:cstheme="majorHAnsi"/>
          <w:szCs w:val="26"/>
          <w:lang w:val="en-US"/>
        </w:rPr>
        <w:t xml:space="preserve"> công ty niêm yế</w:t>
      </w:r>
      <w:r w:rsidR="00040E07">
        <w:rPr>
          <w:rFonts w:cstheme="majorHAnsi"/>
          <w:szCs w:val="26"/>
          <w:lang w:val="en-US"/>
        </w:rPr>
        <w:t>t từ</w:t>
      </w:r>
      <w:r w:rsidRPr="00341848">
        <w:rPr>
          <w:rFonts w:cstheme="majorHAnsi"/>
          <w:szCs w:val="26"/>
          <w:lang w:val="en-US"/>
        </w:rPr>
        <w:t xml:space="preserve"> năm 2009</w:t>
      </w:r>
      <w:r w:rsidR="00D23684">
        <w:rPr>
          <w:rFonts w:cstheme="majorHAnsi"/>
          <w:szCs w:val="26"/>
          <w:lang w:val="en-US"/>
        </w:rPr>
        <w:t xml:space="preserve"> loại trừ công ty tài chính, bảo hiểm và ngân hàng</w:t>
      </w:r>
      <w:r w:rsidRPr="00341848">
        <w:rPr>
          <w:rFonts w:cstheme="majorHAnsi"/>
          <w:szCs w:val="26"/>
          <w:lang w:val="en-US"/>
        </w:rPr>
        <w:t xml:space="preserve"> và</w:t>
      </w:r>
      <w:r w:rsidR="00701F83" w:rsidRPr="00341848">
        <w:rPr>
          <w:rFonts w:cstheme="majorHAnsi"/>
          <w:szCs w:val="26"/>
          <w:lang w:val="en-US"/>
        </w:rPr>
        <w:t xml:space="preserve"> có công bố </w:t>
      </w:r>
      <w:r w:rsidR="00C07341" w:rsidRPr="00341848">
        <w:rPr>
          <w:rFonts w:cstheme="majorHAnsi"/>
          <w:szCs w:val="26"/>
          <w:lang w:val="en-US"/>
        </w:rPr>
        <w:t xml:space="preserve">BCTC </w:t>
      </w:r>
      <w:r w:rsidR="00701F83" w:rsidRPr="00341848">
        <w:rPr>
          <w:rFonts w:cstheme="majorHAnsi"/>
          <w:szCs w:val="26"/>
          <w:lang w:val="en-US"/>
        </w:rPr>
        <w:t>trong giai đoạ</w:t>
      </w:r>
      <w:r w:rsidR="00D23684">
        <w:rPr>
          <w:rFonts w:cstheme="majorHAnsi"/>
          <w:szCs w:val="26"/>
          <w:lang w:val="en-US"/>
        </w:rPr>
        <w:t>n 2009-2015</w:t>
      </w:r>
      <w:r w:rsidRPr="00341848">
        <w:rPr>
          <w:rFonts w:cstheme="majorHAnsi"/>
          <w:szCs w:val="26"/>
          <w:lang w:val="en-US"/>
        </w:rPr>
        <w:t>.</w:t>
      </w:r>
      <w:r w:rsidR="00701F83" w:rsidRPr="00341848">
        <w:rPr>
          <w:rFonts w:cstheme="majorHAnsi"/>
          <w:szCs w:val="26"/>
          <w:lang w:val="en-US"/>
        </w:rPr>
        <w:t xml:space="preserve"> </w:t>
      </w:r>
    </w:p>
    <w:p w14:paraId="1E75D0B3" w14:textId="77777777" w:rsidR="00F8786B" w:rsidRPr="00341848" w:rsidRDefault="001D17F7" w:rsidP="00361353">
      <w:pPr>
        <w:pStyle w:val="ListParagraph"/>
        <w:numPr>
          <w:ilvl w:val="0"/>
          <w:numId w:val="1"/>
        </w:numPr>
        <w:spacing w:after="0" w:line="360" w:lineRule="auto"/>
        <w:ind w:left="0" w:firstLine="0"/>
        <w:rPr>
          <w:rFonts w:cstheme="majorHAnsi"/>
          <w:b/>
          <w:szCs w:val="26"/>
          <w:lang w:val="en-US"/>
        </w:rPr>
      </w:pPr>
      <w:r w:rsidRPr="00341848">
        <w:rPr>
          <w:rFonts w:cstheme="majorHAnsi"/>
          <w:b/>
          <w:szCs w:val="26"/>
          <w:lang w:val="en-US"/>
        </w:rPr>
        <w:t>Cơ sở lý thuyết</w:t>
      </w:r>
    </w:p>
    <w:p w14:paraId="1C66F3D8"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 xml:space="preserve">2.1 Giả định khả năng hoạt động liên tục </w:t>
      </w:r>
    </w:p>
    <w:p w14:paraId="34A554C0"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Khái niệm</w:t>
      </w:r>
    </w:p>
    <w:p w14:paraId="45B114D4"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Trong lĩnh vực kế toán, khái niệm HĐLT được đề cập chủ yếu trong Khuôn mẫu lý thuyết của các tổ chức nghề nghiệp kế toán quốc tế (FASB, IASB). Tại Việt Nam, khái niệm này được đề cập tại VAS 01, theo đó: “ Báo cáo tài chính phải được lập trên cơ sở giả định là doanh nghiệp đang HĐLT và sẽ tiếp tục hoạt động kinh doanh bình thường trong tương lai gần, nghĩa là doanh nghiệp không có ý định cũng như không buộc phải ngừng hoạt động hoặc phải thu hẹp đáng kể quy mô hoạt động của mình. Trường hợp thực tế khác với giả định HĐLT thì BCTC phải lập trên một cơ sở khác và phải giải thích cơ sở đã sử dụng để lập BCTC”- (Bộ Tài chính, 2002).</w:t>
      </w:r>
    </w:p>
    <w:p w14:paraId="3578E301"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Cách thức đo lường</w:t>
      </w:r>
    </w:p>
    <w:p w14:paraId="79A97CF8"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Có nhiều cách đo lường KNHĐLT, trong đó đo lường theo mô hình dự báo KNHĐLTchỉ số Atman Z, chỉ số Fulmer Hđược các nhà nghiên cứu sử dụng phổ biến.</w:t>
      </w:r>
    </w:p>
    <w:p w14:paraId="762C2D9A"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Mô hình Altman Z (1968)</w:t>
      </w:r>
    </w:p>
    <w:p w14:paraId="17DE625C" w14:textId="77777777" w:rsidR="00070298" w:rsidRPr="00070298" w:rsidRDefault="00070298" w:rsidP="00070298">
      <w:pPr>
        <w:pStyle w:val="ListParagraph"/>
        <w:tabs>
          <w:tab w:val="left" w:pos="360"/>
        </w:tabs>
        <w:spacing w:after="0" w:line="360" w:lineRule="auto"/>
        <w:rPr>
          <w:rFonts w:cstheme="majorHAnsi"/>
          <w:szCs w:val="26"/>
        </w:rPr>
      </w:pPr>
      <w:r w:rsidRPr="00070298">
        <w:rPr>
          <w:rFonts w:cstheme="majorHAnsi"/>
          <w:szCs w:val="26"/>
        </w:rPr>
        <w:t>Z = 1,21 X1 + 1,4 X2 + 3,3 X3 + 0,6 X4 + 0,999X5</w:t>
      </w:r>
    </w:p>
    <w:p w14:paraId="49702F2D" w14:textId="77777777" w:rsidR="00070298" w:rsidRPr="00070298" w:rsidRDefault="00070298" w:rsidP="00070298">
      <w:pPr>
        <w:tabs>
          <w:tab w:val="left" w:pos="360"/>
        </w:tabs>
        <w:spacing w:after="0" w:line="360" w:lineRule="auto"/>
        <w:rPr>
          <w:rFonts w:cstheme="majorHAnsi"/>
          <w:szCs w:val="26"/>
        </w:rPr>
      </w:pPr>
      <w:r w:rsidRPr="00070298">
        <w:rPr>
          <w:rFonts w:cstheme="majorHAnsi"/>
          <w:szCs w:val="26"/>
        </w:rPr>
        <w:t>Trong đó:</w:t>
      </w:r>
    </w:p>
    <w:p w14:paraId="0784A7F7" w14:textId="6FCE9D53" w:rsidR="00A67E5D" w:rsidRDefault="00070298" w:rsidP="00070298">
      <w:pPr>
        <w:pStyle w:val="ListParagraph"/>
        <w:tabs>
          <w:tab w:val="left" w:pos="360"/>
        </w:tabs>
        <w:spacing w:after="0" w:line="360" w:lineRule="auto"/>
        <w:ind w:left="0"/>
        <w:rPr>
          <w:rFonts w:cstheme="majorHAnsi"/>
          <w:szCs w:val="26"/>
        </w:rPr>
      </w:pPr>
      <w:r w:rsidRPr="00070298">
        <w:rPr>
          <w:rFonts w:cstheme="majorHAnsi"/>
          <w:szCs w:val="26"/>
        </w:rPr>
        <w:t>X1 = Vốn lưu động/ Tổng tài sản (Working Capital/ Total Assets); X2 = Lợi nhuận chưa phân phối/ Tổng tài sản (Retained Earning/ Total Assets); X3 = Lợi nhuận trước thuế và lãi vay/ Tổng tài sản (Earnings before interest and taxes/ Total Assets); X4 = Giá trị vốn hoá thị trường của chủ sở hữu/ Tổng giá trị sổ sách của tổng nợ (Market Value of Equity/ Book Value of Total Liabities); X5 = Doanh thu/ Tổng tài sản (Sales/ Total Assets)</w:t>
      </w:r>
      <w:r w:rsidR="00A67E5D" w:rsidRPr="00341848">
        <w:rPr>
          <w:rFonts w:cstheme="majorHAnsi"/>
          <w:szCs w:val="26"/>
        </w:rPr>
        <w:t>.</w:t>
      </w:r>
    </w:p>
    <w:p w14:paraId="35EFEE4E" w14:textId="110A22FE" w:rsidR="00B4209F" w:rsidRPr="00070298" w:rsidRDefault="00B4209F" w:rsidP="00B4209F">
      <w:pPr>
        <w:tabs>
          <w:tab w:val="left" w:pos="360"/>
        </w:tabs>
        <w:spacing w:after="0" w:line="360" w:lineRule="auto"/>
        <w:rPr>
          <w:rFonts w:cstheme="majorHAnsi"/>
          <w:szCs w:val="26"/>
        </w:rPr>
      </w:pPr>
      <w:r>
        <w:rPr>
          <w:rFonts w:cstheme="majorHAnsi"/>
          <w:szCs w:val="26"/>
        </w:rPr>
        <w:t xml:space="preserve">2.2 </w:t>
      </w:r>
      <w:r w:rsidR="00DE72BA">
        <w:rPr>
          <w:rFonts w:cstheme="majorHAnsi"/>
          <w:szCs w:val="26"/>
          <w:lang w:val="en-US"/>
        </w:rPr>
        <w:t>Chất lượng báo cáo tài chính</w:t>
      </w:r>
      <w:r w:rsidRPr="00070298">
        <w:rPr>
          <w:rFonts w:cstheme="majorHAnsi"/>
          <w:szCs w:val="26"/>
        </w:rPr>
        <w:t xml:space="preserve"> </w:t>
      </w:r>
    </w:p>
    <w:p w14:paraId="56964B64" w14:textId="39537E66" w:rsidR="00B4209F" w:rsidRDefault="001456C8" w:rsidP="00B4209F">
      <w:pPr>
        <w:tabs>
          <w:tab w:val="left" w:pos="360"/>
        </w:tabs>
        <w:spacing w:after="0" w:line="360" w:lineRule="auto"/>
        <w:rPr>
          <w:rFonts w:cstheme="majorHAnsi"/>
          <w:szCs w:val="26"/>
        </w:rPr>
      </w:pPr>
      <w:r w:rsidRPr="001456C8">
        <w:rPr>
          <w:rFonts w:cstheme="majorHAnsi"/>
          <w:szCs w:val="26"/>
        </w:rPr>
        <w:lastRenderedPageBreak/>
        <w:t>Theo khuôn mẫu (được IASC phê chuẩn năm 1989 và tiếp tục được IASB kế thừa từ năm 2001) từ đoạn QC1 – QC39 đã xác định các đặc tính chủ yếu làm cho thông tin trên BCTC trở nên hữu ích đối với nhà đầu tư, cho vay và các đối tượng sử dụng khác. Các đặc tính được chia làm hai cấp độ, cụ thể các đặc tính nền tảng bao gồm tính thích hợp (relevance) và trình bày trung thực (faithful representation), các đặc tính nâng cao Chất lượng thông tin BCTC gồm: có khả năng so sánh (comparability), có thể kiểm chứng (verifiability), kịp thời (timeliness) và có thể hiểu đượ</w:t>
      </w:r>
      <w:r>
        <w:rPr>
          <w:rFonts w:cstheme="majorHAnsi"/>
          <w:szCs w:val="26"/>
        </w:rPr>
        <w:t>c (understandability)</w:t>
      </w:r>
      <w:r w:rsidR="00B4209F" w:rsidRPr="00B4209F">
        <w:rPr>
          <w:rFonts w:cstheme="majorHAnsi"/>
          <w:szCs w:val="26"/>
        </w:rPr>
        <w:t>.</w:t>
      </w:r>
    </w:p>
    <w:p w14:paraId="49E4EC6A" w14:textId="77777777" w:rsidR="00053341" w:rsidRPr="00F6790A" w:rsidRDefault="00053341" w:rsidP="00053341">
      <w:pPr>
        <w:pStyle w:val="chuan"/>
        <w:spacing w:line="360" w:lineRule="auto"/>
        <w:ind w:right="0"/>
      </w:pPr>
      <w:r w:rsidRPr="00F6790A">
        <w:t xml:space="preserve">Nghiên cứu theo phương pháp gián tiếp với mục tiêu </w:t>
      </w:r>
      <w:r w:rsidRPr="006A3778">
        <w:t xml:space="preserve">đo lường </w:t>
      </w:r>
      <w:r w:rsidRPr="00F6790A">
        <w:t xml:space="preserve">FRQ </w:t>
      </w:r>
      <w:r w:rsidRPr="006A3778">
        <w:t>bằng mô hình chất lượng các khoản trích trước</w:t>
      </w:r>
      <w:r w:rsidRPr="00F6790A">
        <w:t>.</w:t>
      </w:r>
    </w:p>
    <w:p w14:paraId="6E4E82FC" w14:textId="77777777" w:rsidR="00053341" w:rsidRPr="00F6790A" w:rsidRDefault="00053341" w:rsidP="00053341">
      <w:pPr>
        <w:pStyle w:val="chuan"/>
        <w:spacing w:line="360" w:lineRule="auto"/>
        <w:ind w:right="0"/>
      </w:pPr>
      <w:r w:rsidRPr="00F6790A">
        <w:t>Trong mô hình có gồm 3 biến độc lập và 1 biến phụ thuộc như sau:</w:t>
      </w:r>
    </w:p>
    <w:p w14:paraId="5503EDA3" w14:textId="77777777" w:rsidR="00053341" w:rsidRPr="00F6790A" w:rsidRDefault="00053341" w:rsidP="00053341">
      <w:pPr>
        <w:pStyle w:val="chuan"/>
        <w:spacing w:line="360" w:lineRule="auto"/>
        <w:ind w:right="0"/>
        <w:jc w:val="center"/>
        <w:rPr>
          <w:rFonts w:eastAsiaTheme="minorEastAsia"/>
          <w:b/>
          <w:lang w:val="fr-FR"/>
        </w:rPr>
      </w:pPr>
      <w:r w:rsidRPr="006A3778">
        <w:rPr>
          <w:b/>
          <w:lang w:val="fr-FR"/>
        </w:rPr>
        <w:t>WCA</w:t>
      </w:r>
      <w:r w:rsidRPr="006A3778">
        <w:rPr>
          <w:b/>
          <w:vertAlign w:val="subscript"/>
          <w:lang w:val="fr-FR"/>
        </w:rPr>
        <w:t xml:space="preserve">i,t </w:t>
      </w:r>
      <w:r w:rsidRPr="006A3778">
        <w:rPr>
          <w:b/>
          <w:lang w:val="fr-FR"/>
        </w:rPr>
        <w:t>=</w:t>
      </w:r>
      <m:oMath>
        <m:sSub>
          <m:sSubPr>
            <m:ctrlPr>
              <w:rPr>
                <w:rFonts w:ascii="Cambria Math" w:hAnsi="Cambria Math"/>
                <w:b/>
              </w:rPr>
            </m:ctrlPr>
          </m:sSubPr>
          <m:e>
            <m:r>
              <m:rPr>
                <m:sty m:val="b"/>
              </m:rPr>
              <w:rPr>
                <w:rFonts w:ascii="Cambria Math" w:hAnsi="Cambria Math"/>
                <w:lang w:val="fr-FR"/>
              </w:rPr>
              <m:t xml:space="preserve">   </m:t>
            </m:r>
            <m:r>
              <m:rPr>
                <m:sty m:val="b"/>
              </m:rPr>
              <w:rPr>
                <w:rFonts w:ascii="Cambria Math" w:hAnsi="Cambria Math"/>
              </w:rPr>
              <m:t>β</m:t>
            </m:r>
          </m:e>
          <m:sub>
            <m:r>
              <m:rPr>
                <m:sty m:val="b"/>
              </m:rPr>
              <w:rPr>
                <w:rFonts w:ascii="Cambria Math" w:hAnsi="Cambria Math"/>
                <w:lang w:val="fr-FR"/>
              </w:rPr>
              <m:t xml:space="preserve">0 </m:t>
            </m:r>
          </m:sub>
        </m:sSub>
      </m:oMath>
      <w:r w:rsidRPr="006A3778">
        <w:rPr>
          <w:rFonts w:eastAsiaTheme="minorEastAsia"/>
          <w:b/>
          <w:lang w:val="fr-FR"/>
        </w:rPr>
        <w:t xml:space="preserve">+ </w:t>
      </w:r>
      <m:oMath>
        <m:sSub>
          <m:sSubPr>
            <m:ctrlPr>
              <w:rPr>
                <w:rFonts w:ascii="Cambria Math" w:hAnsi="Cambria Math"/>
                <w:b/>
              </w:rPr>
            </m:ctrlPr>
          </m:sSubPr>
          <m:e>
            <m:r>
              <m:rPr>
                <m:sty m:val="b"/>
              </m:rPr>
              <w:rPr>
                <w:rFonts w:ascii="Cambria Math" w:hAnsi="Cambria Math"/>
              </w:rPr>
              <m:t>β</m:t>
            </m:r>
          </m:e>
          <m:sub>
            <m:r>
              <m:rPr>
                <m:sty m:val="b"/>
              </m:rPr>
              <w:rPr>
                <w:rFonts w:ascii="Cambria Math" w:hAnsi="Cambria Math"/>
                <w:lang w:val="fr-FR"/>
              </w:rPr>
              <m:t xml:space="preserve">1 </m:t>
            </m:r>
          </m:sub>
        </m:sSub>
      </m:oMath>
      <w:r w:rsidRPr="006A3778">
        <w:rPr>
          <w:rFonts w:eastAsiaTheme="minorEastAsia"/>
          <w:b/>
          <w:lang w:val="fr-FR"/>
        </w:rPr>
        <w:t>CFO</w:t>
      </w:r>
      <w:r w:rsidRPr="006A3778">
        <w:rPr>
          <w:rFonts w:eastAsiaTheme="minorEastAsia"/>
          <w:b/>
          <w:vertAlign w:val="subscript"/>
          <w:lang w:val="fr-FR"/>
        </w:rPr>
        <w:t>i,t-1</w:t>
      </w:r>
      <w:r w:rsidRPr="006A3778">
        <w:rPr>
          <w:rFonts w:eastAsiaTheme="minorEastAsia"/>
          <w:b/>
          <w:lang w:val="fr-FR"/>
        </w:rPr>
        <w:t xml:space="preserve">+ </w:t>
      </w:r>
      <m:oMath>
        <m:sSub>
          <m:sSubPr>
            <m:ctrlPr>
              <w:rPr>
                <w:rFonts w:ascii="Cambria Math" w:hAnsi="Cambria Math"/>
                <w:b/>
              </w:rPr>
            </m:ctrlPr>
          </m:sSubPr>
          <m:e>
            <m:r>
              <m:rPr>
                <m:sty m:val="b"/>
              </m:rPr>
              <w:rPr>
                <w:rFonts w:ascii="Cambria Math" w:hAnsi="Cambria Math"/>
              </w:rPr>
              <m:t>β</m:t>
            </m:r>
          </m:e>
          <m:sub>
            <m:r>
              <m:rPr>
                <m:sty m:val="b"/>
              </m:rPr>
              <w:rPr>
                <w:rFonts w:ascii="Cambria Math" w:hAnsi="Cambria Math"/>
                <w:lang w:val="fr-FR"/>
              </w:rPr>
              <m:t xml:space="preserve">2 </m:t>
            </m:r>
          </m:sub>
        </m:sSub>
      </m:oMath>
      <w:r w:rsidRPr="006A3778">
        <w:rPr>
          <w:rFonts w:eastAsiaTheme="minorEastAsia"/>
          <w:b/>
          <w:lang w:val="fr-FR"/>
        </w:rPr>
        <w:t>CFO</w:t>
      </w:r>
      <w:r w:rsidRPr="006A3778">
        <w:rPr>
          <w:rFonts w:eastAsiaTheme="minorEastAsia"/>
          <w:b/>
          <w:vertAlign w:val="subscript"/>
          <w:lang w:val="fr-FR"/>
        </w:rPr>
        <w:t>i,t</w:t>
      </w:r>
      <w:r w:rsidRPr="006A3778">
        <w:rPr>
          <w:rFonts w:eastAsiaTheme="minorEastAsia"/>
          <w:b/>
          <w:lang w:val="fr-FR"/>
        </w:rPr>
        <w:t>+</w:t>
      </w:r>
      <m:oMath>
        <m:sSub>
          <m:sSubPr>
            <m:ctrlPr>
              <w:rPr>
                <w:rFonts w:ascii="Cambria Math" w:hAnsi="Cambria Math"/>
                <w:b/>
              </w:rPr>
            </m:ctrlPr>
          </m:sSubPr>
          <m:e>
            <m:r>
              <m:rPr>
                <m:sty m:val="b"/>
              </m:rPr>
              <w:rPr>
                <w:rFonts w:ascii="Cambria Math" w:hAnsi="Cambria Math"/>
              </w:rPr>
              <m:t>β</m:t>
            </m:r>
          </m:e>
          <m:sub>
            <m:r>
              <m:rPr>
                <m:sty m:val="b"/>
              </m:rPr>
              <w:rPr>
                <w:rFonts w:ascii="Cambria Math" w:hAnsi="Cambria Math"/>
                <w:lang w:val="fr-FR"/>
              </w:rPr>
              <m:t>3</m:t>
            </m:r>
          </m:sub>
        </m:sSub>
      </m:oMath>
      <w:r w:rsidRPr="006A3778">
        <w:rPr>
          <w:rFonts w:eastAsiaTheme="minorEastAsia"/>
          <w:b/>
          <w:lang w:val="fr-FR"/>
        </w:rPr>
        <w:t>CFO</w:t>
      </w:r>
      <w:r w:rsidRPr="006A3778">
        <w:rPr>
          <w:rFonts w:eastAsiaTheme="minorEastAsia"/>
          <w:b/>
          <w:vertAlign w:val="subscript"/>
          <w:lang w:val="fr-FR"/>
        </w:rPr>
        <w:t>i,t+1</w:t>
      </w:r>
      <w:r w:rsidRPr="006A3778">
        <w:rPr>
          <w:rFonts w:eastAsiaTheme="minorEastAsia"/>
          <w:b/>
          <w:lang w:val="fr-FR"/>
        </w:rPr>
        <w:t>+</w:t>
      </w:r>
      <m:oMath>
        <m:sSub>
          <m:sSubPr>
            <m:ctrlPr>
              <w:rPr>
                <w:rFonts w:ascii="Cambria Math" w:eastAsiaTheme="minorEastAsia" w:hAnsi="Cambria Math"/>
                <w:b/>
              </w:rPr>
            </m:ctrlPr>
          </m:sSubPr>
          <m:e>
            <m:r>
              <m:rPr>
                <m:sty m:val="b"/>
              </m:rPr>
              <w:rPr>
                <w:rFonts w:ascii="Cambria Math" w:eastAsiaTheme="minorEastAsia" w:hAnsi="Cambria Math"/>
              </w:rPr>
              <m:t>ε</m:t>
            </m:r>
          </m:e>
          <m:sub>
            <m:r>
              <m:rPr>
                <m:sty m:val="b"/>
              </m:rPr>
              <w:rPr>
                <w:rFonts w:ascii="Cambria Math" w:eastAsiaTheme="minorEastAsia" w:hAnsi="Cambria Math"/>
                <w:lang w:val="fr-FR"/>
              </w:rPr>
              <m:t>i,t</m:t>
            </m:r>
          </m:sub>
        </m:sSub>
      </m:oMath>
    </w:p>
    <w:p w14:paraId="48A9514E" w14:textId="77777777" w:rsidR="00402C5F" w:rsidRPr="006A3778" w:rsidRDefault="00402C5F" w:rsidP="00402C5F">
      <w:pPr>
        <w:pStyle w:val="chuan"/>
        <w:spacing w:line="360" w:lineRule="auto"/>
        <w:ind w:right="0"/>
      </w:pPr>
      <w:r w:rsidRPr="006A3778">
        <w:t>Trong mô hình này, các khoản dồn tích vốn lưu động được hồi quy bằng dòng tiền từ hoạt động của năm trước, năm hiện hành và các năm tiếp theo. Các khoản dồn tích vốn lưu động được tính như các thay đổi trong tài sản lưu động ngắn hạn trừ sự thay đổi về công nợ hiện tại cộng với sự thay đổi trong nợ ngân hàng ngắn hạn. Dòng tiền từ hoạt động</w:t>
      </w:r>
      <w:r w:rsidRPr="00F6790A">
        <w:t xml:space="preserve"> qua các năm</w:t>
      </w:r>
      <w:r w:rsidRPr="006A3778">
        <w:t>, được thể hiện bằng sự chênh lệch giữa thu nhập ròng trước các khoản loại trừ và khoản dồn tích. Tất cả các biến được</w:t>
      </w:r>
      <w:r w:rsidRPr="00F6790A">
        <w:t xml:space="preserve"> đơn giản bằng cách</w:t>
      </w:r>
      <w:r w:rsidRPr="006A3778">
        <w:t xml:space="preserve"> chia cho tổng tài sản bình quân. </w:t>
      </w:r>
    </w:p>
    <w:p w14:paraId="5324E7FE" w14:textId="11D9E9D9" w:rsidR="00053341" w:rsidRPr="00B4209F" w:rsidRDefault="00402C5F" w:rsidP="005E6612">
      <w:pPr>
        <w:pStyle w:val="chuan"/>
        <w:spacing w:line="360" w:lineRule="auto"/>
        <w:ind w:right="0"/>
        <w:rPr>
          <w:rFonts w:cstheme="majorHAnsi"/>
        </w:rPr>
      </w:pPr>
      <w:r w:rsidRPr="006A3778">
        <w:t> Như trong các mô hình ở trên dự toán được thực hiện theo năm và theo ngành. Các số dư từ phương trình phản ánh sự thay đổi trong khoản dồn tích vốn lưu động không được giải thích được bởi dòng tiền của năm hiện tại và các thời gian liền kề. Từ đó  FRQ</w:t>
      </w:r>
      <w:r w:rsidRPr="00F6790A">
        <w:t xml:space="preserve"> sẽ được tính</w:t>
      </w:r>
      <w:r w:rsidRPr="006A3778">
        <w:t xml:space="preserve"> là giá trị tuyệt đối của các số dư của mô hình này nhân với -1. </w:t>
      </w:r>
    </w:p>
    <w:p w14:paraId="072C5FBD" w14:textId="33E69DA2" w:rsidR="00F8786B" w:rsidRPr="00F353C9" w:rsidRDefault="002F3101" w:rsidP="00361353">
      <w:pPr>
        <w:pStyle w:val="ListParagraph"/>
        <w:numPr>
          <w:ilvl w:val="0"/>
          <w:numId w:val="1"/>
        </w:numPr>
        <w:spacing w:after="0" w:line="360" w:lineRule="auto"/>
        <w:ind w:left="0" w:firstLine="0"/>
        <w:rPr>
          <w:rFonts w:cstheme="majorHAnsi"/>
          <w:b/>
          <w:szCs w:val="26"/>
        </w:rPr>
      </w:pPr>
      <w:r w:rsidRPr="00341848">
        <w:rPr>
          <w:rFonts w:cstheme="majorHAnsi"/>
          <w:b/>
          <w:szCs w:val="26"/>
          <w:lang w:val="en-US"/>
        </w:rPr>
        <w:t xml:space="preserve">Tổng quan </w:t>
      </w:r>
      <w:r w:rsidR="00591977">
        <w:rPr>
          <w:rFonts w:cstheme="majorHAnsi"/>
          <w:b/>
          <w:szCs w:val="26"/>
          <w:lang w:val="en-US"/>
        </w:rPr>
        <w:t>lý thuyết</w:t>
      </w:r>
      <w:r w:rsidR="004B42BC">
        <w:rPr>
          <w:rFonts w:cstheme="majorHAnsi"/>
          <w:b/>
          <w:szCs w:val="26"/>
          <w:lang w:val="en-US"/>
        </w:rPr>
        <w:t xml:space="preserve"> và giả thuyết nghiên cứu</w:t>
      </w:r>
    </w:p>
    <w:p w14:paraId="0377ED59" w14:textId="5E7C69DD" w:rsidR="00F353C9" w:rsidRPr="00341848" w:rsidRDefault="00F353C9" w:rsidP="00F353C9">
      <w:pPr>
        <w:pStyle w:val="ListParagraph"/>
        <w:numPr>
          <w:ilvl w:val="1"/>
          <w:numId w:val="1"/>
        </w:numPr>
        <w:spacing w:after="0" w:line="360" w:lineRule="auto"/>
        <w:ind w:left="0" w:firstLine="0"/>
        <w:rPr>
          <w:rFonts w:cstheme="majorHAnsi"/>
          <w:b/>
          <w:szCs w:val="26"/>
        </w:rPr>
      </w:pPr>
      <w:r>
        <w:rPr>
          <w:rFonts w:cstheme="majorHAnsi"/>
          <w:b/>
          <w:szCs w:val="26"/>
          <w:lang w:val="en-US"/>
        </w:rPr>
        <w:t xml:space="preserve">Lý thuyết </w:t>
      </w:r>
      <w:r w:rsidR="00046CC1">
        <w:rPr>
          <w:rFonts w:cstheme="majorHAnsi"/>
          <w:b/>
          <w:szCs w:val="26"/>
          <w:lang w:val="en-US"/>
        </w:rPr>
        <w:t>ủy nhiệm</w:t>
      </w:r>
    </w:p>
    <w:p w14:paraId="40128E85" w14:textId="77777777" w:rsidR="00300EB9" w:rsidRPr="00300EB9" w:rsidRDefault="00300EB9" w:rsidP="00300EB9">
      <w:pPr>
        <w:spacing w:after="0" w:line="360" w:lineRule="auto"/>
        <w:rPr>
          <w:rFonts w:cstheme="majorHAnsi"/>
          <w:szCs w:val="26"/>
        </w:rPr>
      </w:pPr>
      <w:r w:rsidRPr="00300EB9">
        <w:rPr>
          <w:rFonts w:cstheme="majorHAnsi"/>
          <w:szCs w:val="26"/>
        </w:rPr>
        <w:t xml:space="preserve">Lý thuyết ủy nhiệm được giới thiệu bởi Jensen và Meckling (1976).  Lý thuyết này nghiên cứu mối quan hệ giữa bên ủy nhiệm (principal) và bên được ủy nhiệm (agent) thông qua hợp đồng, bên được ủy nhiệm thực hiện một số công việc đại diện cho bên được ủy nhiệm.Trong DN mối quan hệ ủy quyền chủ yếu giữa cổ đông và nhà quản lý. Với phần lớn các công ty đại chúng niêm yết, vấn đề đại diện ngày càng thể hiện rõ rệt vì đa số các công ty đều thuê quản lý và thông thường những người này thường chỉ sở hữu </w:t>
      </w:r>
      <w:r w:rsidRPr="00300EB9">
        <w:rPr>
          <w:rFonts w:cstheme="majorHAnsi"/>
          <w:szCs w:val="26"/>
        </w:rPr>
        <w:lastRenderedPageBreak/>
        <w:t xml:space="preserve">một phần nhỏ cổ phiếu. Lý thuyết ủy nhiệm cho rằng cả hai bên (bên ủy nhiệm và bên được ủy nhiệm) đều tối đa hóa lợi ích của mình. </w:t>
      </w:r>
    </w:p>
    <w:p w14:paraId="22F25790" w14:textId="77777777" w:rsidR="00300EB9" w:rsidRPr="00300EB9" w:rsidRDefault="00300EB9" w:rsidP="00300EB9">
      <w:pPr>
        <w:spacing w:after="0" w:line="360" w:lineRule="auto"/>
        <w:rPr>
          <w:rFonts w:cstheme="majorHAnsi"/>
          <w:szCs w:val="26"/>
        </w:rPr>
      </w:pPr>
      <w:r w:rsidRPr="00300EB9">
        <w:rPr>
          <w:rFonts w:cstheme="majorHAnsi"/>
          <w:szCs w:val="26"/>
        </w:rPr>
        <w:tab/>
        <w:t>Trong mối quan hệ bên ủy nhiệm – và bên đại diện có hai loại chi phí được nghiên cứu. Chi phí đại diện bao gồm: chi phí đầu tư vào hệ thống kiểm soát cần thiết kể giảm thiểu việc thiếu thông tin của bên ủy quyền; chi phí giảm thiểu rủi ro thông qua việc chia sẻ rủi ro với bên được ủy quyền nhờ những biện pháp kích thích dựa trên kết quả đầu ra. Lý thuyết về đại diện nhấn mạnh rằng, nhà ủy quyền cần phải sử dụng các cơ chế thích hợp để có thể hạn chế sự phân hóa lợi ích giữa bên ủy quyền và bên được ủy quyền bằng cách (i) thiết lập những cơ chế đãi ngộ (compensation mechanisms) thích hợp cho các nhà đại diện, và (ii) thiết lập cơ chế giám sát (supervisory mechanisms) hiệu quả để hạn chế những hành vi không bình thường, tư lợi của bên đại diện.</w:t>
      </w:r>
    </w:p>
    <w:p w14:paraId="74A6563F" w14:textId="2E132676" w:rsidR="009920B2" w:rsidRPr="009920B2" w:rsidRDefault="00300EB9" w:rsidP="00300EB9">
      <w:pPr>
        <w:spacing w:after="0" w:line="360" w:lineRule="auto"/>
        <w:rPr>
          <w:rFonts w:cstheme="majorHAnsi"/>
          <w:szCs w:val="26"/>
        </w:rPr>
      </w:pPr>
      <w:r w:rsidRPr="00300EB9">
        <w:rPr>
          <w:rFonts w:cstheme="majorHAnsi"/>
          <w:szCs w:val="26"/>
        </w:rPr>
        <w:tab/>
        <w:t xml:space="preserve">Theo các nghiên cứu về </w:t>
      </w:r>
      <w:r>
        <w:rPr>
          <w:rFonts w:cstheme="majorHAnsi"/>
          <w:szCs w:val="26"/>
          <w:lang w:val="en-US"/>
        </w:rPr>
        <w:t>chất lượng báo cáo tài chính</w:t>
      </w:r>
      <w:r w:rsidRPr="00300EB9">
        <w:rPr>
          <w:rFonts w:cstheme="majorHAnsi"/>
          <w:szCs w:val="26"/>
        </w:rPr>
        <w:t>, ban lãnh đạo thường công bố lợi nhuận cao nhằm đạt mức lương thưởng gắn với kết quả kinh doanh và đồng thời giữ giá cổ phiếu khi họ cũng là những cổ đông lớn.</w:t>
      </w:r>
    </w:p>
    <w:p w14:paraId="7C7F28C0" w14:textId="3C323B88" w:rsidR="00F9501D" w:rsidRPr="00341848" w:rsidRDefault="00591977" w:rsidP="00F9501D">
      <w:pPr>
        <w:pStyle w:val="ListParagraph"/>
        <w:numPr>
          <w:ilvl w:val="1"/>
          <w:numId w:val="1"/>
        </w:numPr>
        <w:spacing w:after="0" w:line="360" w:lineRule="auto"/>
        <w:ind w:left="0" w:firstLine="0"/>
        <w:rPr>
          <w:rFonts w:cstheme="majorHAnsi"/>
          <w:b/>
          <w:szCs w:val="26"/>
        </w:rPr>
      </w:pPr>
      <w:r>
        <w:rPr>
          <w:rFonts w:cstheme="majorHAnsi"/>
          <w:b/>
          <w:szCs w:val="26"/>
          <w:lang w:val="en-US"/>
        </w:rPr>
        <w:t>T</w:t>
      </w:r>
      <w:r w:rsidR="00D63984">
        <w:rPr>
          <w:rFonts w:cstheme="majorHAnsi"/>
          <w:b/>
          <w:szCs w:val="26"/>
          <w:lang w:val="en-US"/>
        </w:rPr>
        <w:t>ổ</w:t>
      </w:r>
      <w:r>
        <w:rPr>
          <w:rFonts w:cstheme="majorHAnsi"/>
          <w:b/>
          <w:szCs w:val="26"/>
          <w:lang w:val="en-US"/>
        </w:rPr>
        <w:t>ng quan nghiên cứu trước đây</w:t>
      </w:r>
    </w:p>
    <w:p w14:paraId="22DD8B26" w14:textId="2E0A7875" w:rsidR="0051484C" w:rsidRPr="0051484C" w:rsidRDefault="0051484C" w:rsidP="0051484C">
      <w:pPr>
        <w:spacing w:after="0" w:line="360" w:lineRule="auto"/>
        <w:rPr>
          <w:rFonts w:cstheme="majorHAnsi"/>
          <w:szCs w:val="26"/>
          <w:lang w:val="en-US"/>
        </w:rPr>
      </w:pPr>
      <w:r w:rsidRPr="0051484C">
        <w:rPr>
          <w:rFonts w:cstheme="majorHAnsi"/>
          <w:szCs w:val="26"/>
          <w:lang w:val="en-US"/>
        </w:rPr>
        <w:t xml:space="preserve">DeFond và Jiambalvo (1994) </w:t>
      </w:r>
      <w:r w:rsidR="00630748">
        <w:rPr>
          <w:rFonts w:cstheme="majorHAnsi"/>
          <w:szCs w:val="26"/>
          <w:lang w:val="en-US"/>
        </w:rPr>
        <w:t>xem xét</w:t>
      </w:r>
      <w:r w:rsidRPr="0051484C">
        <w:rPr>
          <w:rFonts w:cstheme="majorHAnsi"/>
          <w:szCs w:val="26"/>
          <w:lang w:val="en-US"/>
        </w:rPr>
        <w:t xml:space="preserve"> các khoả</w:t>
      </w:r>
      <w:r w:rsidR="00630748">
        <w:rPr>
          <w:rFonts w:cstheme="majorHAnsi"/>
          <w:szCs w:val="26"/>
          <w:lang w:val="en-US"/>
        </w:rPr>
        <w:t>n dồn tích tùy ý</w:t>
      </w:r>
      <w:r w:rsidRPr="0051484C">
        <w:rPr>
          <w:rFonts w:cstheme="majorHAnsi"/>
          <w:szCs w:val="26"/>
          <w:lang w:val="en-US"/>
        </w:rPr>
        <w:t xml:space="preserve"> trong năm trước khi </w:t>
      </w:r>
      <w:r w:rsidR="00630748">
        <w:rPr>
          <w:rFonts w:cstheme="majorHAnsi"/>
          <w:szCs w:val="26"/>
          <w:lang w:val="en-US"/>
        </w:rPr>
        <w:t>phá sản</w:t>
      </w:r>
      <w:r w:rsidRPr="0051484C">
        <w:rPr>
          <w:rFonts w:cstheme="majorHAnsi"/>
          <w:szCs w:val="26"/>
          <w:lang w:val="en-US"/>
        </w:rPr>
        <w:t xml:space="preserve">, phù hợp với </w:t>
      </w:r>
      <w:r w:rsidR="00630748" w:rsidRPr="0051484C">
        <w:rPr>
          <w:rFonts w:cstheme="majorHAnsi"/>
          <w:szCs w:val="26"/>
          <w:lang w:val="en-US"/>
        </w:rPr>
        <w:t>thao túng thu nhập</w:t>
      </w:r>
      <w:r w:rsidRPr="0051484C">
        <w:rPr>
          <w:rFonts w:cstheme="majorHAnsi"/>
          <w:szCs w:val="26"/>
          <w:lang w:val="en-US"/>
        </w:rPr>
        <w:t xml:space="preserve"> </w:t>
      </w:r>
      <w:r w:rsidR="00BE779E">
        <w:rPr>
          <w:rFonts w:cstheme="majorHAnsi"/>
          <w:szCs w:val="26"/>
          <w:lang w:val="en-US"/>
        </w:rPr>
        <w:t xml:space="preserve">của </w:t>
      </w:r>
      <w:r w:rsidRPr="0051484C">
        <w:rPr>
          <w:rFonts w:cstheme="majorHAnsi"/>
          <w:szCs w:val="26"/>
          <w:lang w:val="en-US"/>
        </w:rPr>
        <w:t xml:space="preserve">nhà quản lý để ngăn ngừa việc </w:t>
      </w:r>
      <w:r w:rsidR="005E26ED">
        <w:rPr>
          <w:rFonts w:cstheme="majorHAnsi"/>
          <w:szCs w:val="26"/>
          <w:lang w:val="en-US"/>
        </w:rPr>
        <w:t>phá sản</w:t>
      </w:r>
      <w:r w:rsidRPr="0051484C">
        <w:rPr>
          <w:rFonts w:cstheme="majorHAnsi"/>
          <w:szCs w:val="26"/>
          <w:lang w:val="en-US"/>
        </w:rPr>
        <w:t xml:space="preserve">. Dichev và Skinner (2002) cũng tìm thấy bằng chứng tương tự. Đôi khi các giám đốc điều hành của các công ty </w:t>
      </w:r>
      <w:r w:rsidR="008315A7">
        <w:rPr>
          <w:rFonts w:cstheme="majorHAnsi"/>
          <w:szCs w:val="26"/>
          <w:lang w:val="en-US"/>
        </w:rPr>
        <w:t>cố ý để</w:t>
      </w:r>
      <w:r w:rsidRPr="0051484C">
        <w:rPr>
          <w:rFonts w:cstheme="majorHAnsi"/>
          <w:szCs w:val="26"/>
          <w:lang w:val="en-US"/>
        </w:rPr>
        <w:t xml:space="preserve"> có thể báo cáo thu nhập cao hơn cho lợi ích của họ</w:t>
      </w:r>
      <w:r w:rsidR="008315A7">
        <w:rPr>
          <w:rFonts w:cstheme="majorHAnsi"/>
          <w:szCs w:val="26"/>
          <w:lang w:val="en-US"/>
        </w:rPr>
        <w:t>, cúng</w:t>
      </w:r>
      <w:r w:rsidRPr="0051484C">
        <w:rPr>
          <w:rFonts w:cstheme="majorHAnsi"/>
          <w:szCs w:val="26"/>
          <w:lang w:val="en-US"/>
        </w:rPr>
        <w:t xml:space="preserve"> như </w:t>
      </w:r>
      <w:r w:rsidR="008315A7">
        <w:rPr>
          <w:rFonts w:cstheme="majorHAnsi"/>
          <w:szCs w:val="26"/>
          <w:lang w:val="en-US"/>
        </w:rPr>
        <w:t>gia tăng</w:t>
      </w:r>
      <w:r w:rsidRPr="0051484C">
        <w:rPr>
          <w:rFonts w:cstheme="majorHAnsi"/>
          <w:szCs w:val="26"/>
          <w:lang w:val="en-US"/>
        </w:rPr>
        <w:t xml:space="preserve"> bồi thường hoặc lợ</w:t>
      </w:r>
      <w:r w:rsidR="008315A7">
        <w:rPr>
          <w:rFonts w:cstheme="majorHAnsi"/>
          <w:szCs w:val="26"/>
          <w:lang w:val="en-US"/>
        </w:rPr>
        <w:t>i ích nhận được</w:t>
      </w:r>
      <w:r w:rsidRPr="0051484C">
        <w:rPr>
          <w:rFonts w:cstheme="majorHAnsi"/>
          <w:szCs w:val="26"/>
          <w:lang w:val="en-US"/>
        </w:rPr>
        <w:t xml:space="preserve"> từ công ty. Bergstresser và Philippon (2006) kiểm tra mối quan hệ giữa các ưu đãi </w:t>
      </w:r>
      <w:r w:rsidR="003E2FD0">
        <w:rPr>
          <w:rFonts w:cstheme="majorHAnsi"/>
          <w:szCs w:val="26"/>
          <w:lang w:val="en-US"/>
        </w:rPr>
        <w:t>cho</w:t>
      </w:r>
      <w:r w:rsidRPr="0051484C">
        <w:rPr>
          <w:rFonts w:cstheme="majorHAnsi"/>
          <w:szCs w:val="26"/>
          <w:lang w:val="en-US"/>
        </w:rPr>
        <w:t xml:space="preserve"> Giám đốc điều hành và quản lý thu nhập và thấy rằ</w:t>
      </w:r>
      <w:r w:rsidR="003E2FD0">
        <w:rPr>
          <w:rFonts w:cstheme="majorHAnsi"/>
          <w:szCs w:val="26"/>
          <w:lang w:val="en-US"/>
        </w:rPr>
        <w:t>ng giám đốc điều hành</w:t>
      </w:r>
      <w:r w:rsidRPr="0051484C">
        <w:rPr>
          <w:rFonts w:cstheme="majorHAnsi"/>
          <w:szCs w:val="26"/>
          <w:lang w:val="en-US"/>
        </w:rPr>
        <w:t xml:space="preserve"> được khuyến khích (những người có mức bồi thường tổng thể cao hơn </w:t>
      </w:r>
      <w:r w:rsidR="003E2FD0">
        <w:rPr>
          <w:rFonts w:cstheme="majorHAnsi"/>
          <w:szCs w:val="26"/>
          <w:lang w:val="en-US"/>
        </w:rPr>
        <w:t xml:space="preserve">độ </w:t>
      </w:r>
      <w:r w:rsidRPr="0051484C">
        <w:rPr>
          <w:rFonts w:cstheme="majorHAnsi"/>
          <w:szCs w:val="26"/>
          <w:lang w:val="en-US"/>
        </w:rPr>
        <w:t>nhạy cảm với giá cổ phiếu của công ty) dẫn đến mức độ điều chỉnh thu nhập cao hơn.</w:t>
      </w:r>
    </w:p>
    <w:p w14:paraId="627970FA" w14:textId="57D0AE94" w:rsidR="00AB5078" w:rsidRDefault="0015671D" w:rsidP="0051484C">
      <w:pPr>
        <w:spacing w:after="0" w:line="360" w:lineRule="auto"/>
        <w:rPr>
          <w:rFonts w:cstheme="majorHAnsi"/>
          <w:szCs w:val="26"/>
          <w:lang w:val="en-US"/>
        </w:rPr>
      </w:pPr>
      <w:r>
        <w:rPr>
          <w:rFonts w:cstheme="majorHAnsi"/>
          <w:szCs w:val="26"/>
          <w:lang w:val="en-US"/>
        </w:rPr>
        <w:t>M</w:t>
      </w:r>
      <w:r w:rsidR="0051484C" w:rsidRPr="0051484C">
        <w:rPr>
          <w:rFonts w:cstheme="majorHAnsi"/>
          <w:szCs w:val="26"/>
          <w:lang w:val="en-US"/>
        </w:rPr>
        <w:t xml:space="preserve">ột số nghiên cứu </w:t>
      </w:r>
      <w:r>
        <w:rPr>
          <w:rFonts w:cstheme="majorHAnsi"/>
          <w:szCs w:val="26"/>
          <w:lang w:val="en-US"/>
        </w:rPr>
        <w:t>về chất lượng báo cáo tài chính</w:t>
      </w:r>
      <w:r w:rsidR="0051484C" w:rsidRPr="0051484C">
        <w:rPr>
          <w:rFonts w:cstheme="majorHAnsi"/>
          <w:szCs w:val="26"/>
          <w:lang w:val="en-US"/>
        </w:rPr>
        <w:t xml:space="preserve"> của các công ty có khó khăn về tài chính ở Trung Quốc (Chen &amp; Yuan, 2004, Haw và cộng sự, 2005. Liu &amp; Lu, 2007, Yu, Du &amp; Sun, 2006). </w:t>
      </w:r>
      <w:r w:rsidR="005A354B" w:rsidRPr="005A354B">
        <w:rPr>
          <w:rFonts w:cstheme="majorHAnsi"/>
          <w:szCs w:val="26"/>
          <w:lang w:val="en-US"/>
        </w:rPr>
        <w:t>Chen và Huang (2010) kiểm tra hành vi quả</w:t>
      </w:r>
      <w:r w:rsidR="005A354B">
        <w:rPr>
          <w:rFonts w:cstheme="majorHAnsi"/>
          <w:szCs w:val="26"/>
          <w:lang w:val="en-US"/>
        </w:rPr>
        <w:t>n trị</w:t>
      </w:r>
      <w:r w:rsidR="005A354B" w:rsidRPr="005A354B">
        <w:rPr>
          <w:rFonts w:cstheme="majorHAnsi"/>
          <w:szCs w:val="26"/>
          <w:lang w:val="en-US"/>
        </w:rPr>
        <w:t xml:space="preserve"> thu nhập của các công ty niêm yết tại Trung Quốc. Nghiên cứu cho thấy rằng mong muố</w:t>
      </w:r>
      <w:r w:rsidR="00CD4B4B">
        <w:rPr>
          <w:rFonts w:cstheme="majorHAnsi"/>
          <w:szCs w:val="26"/>
          <w:lang w:val="en-US"/>
        </w:rPr>
        <w:t xml:space="preserve">n tránh </w:t>
      </w:r>
      <w:r w:rsidR="005A354B" w:rsidRPr="005A354B">
        <w:rPr>
          <w:rFonts w:cstheme="majorHAnsi"/>
          <w:szCs w:val="26"/>
          <w:lang w:val="en-US"/>
        </w:rPr>
        <w:t>nguy cơ bị</w:t>
      </w:r>
      <w:r w:rsidR="00212D01">
        <w:rPr>
          <w:rFonts w:cstheme="majorHAnsi"/>
          <w:szCs w:val="26"/>
          <w:lang w:val="en-US"/>
        </w:rPr>
        <w:t xml:space="preserve"> loại khỏi danh sách, </w:t>
      </w:r>
      <w:r w:rsidR="005A354B" w:rsidRPr="005A354B">
        <w:rPr>
          <w:rFonts w:cstheme="majorHAnsi"/>
          <w:szCs w:val="26"/>
          <w:lang w:val="en-US"/>
        </w:rPr>
        <w:t>các công ty hàng đầ</w:t>
      </w:r>
      <w:r w:rsidR="00CD4B4B">
        <w:rPr>
          <w:rFonts w:cstheme="majorHAnsi"/>
          <w:szCs w:val="26"/>
          <w:lang w:val="en-US"/>
        </w:rPr>
        <w:t>u đã</w:t>
      </w:r>
      <w:r w:rsidR="005A354B" w:rsidRPr="005A354B">
        <w:rPr>
          <w:rFonts w:cstheme="majorHAnsi"/>
          <w:szCs w:val="26"/>
          <w:lang w:val="en-US"/>
        </w:rPr>
        <w:t xml:space="preserve"> áp dụng các phương pháp quản lý thu nhập trước và sau khi được chỉ định là công ty </w:t>
      </w:r>
      <w:r w:rsidR="00CD4B4B">
        <w:rPr>
          <w:rFonts w:cstheme="majorHAnsi"/>
          <w:szCs w:val="26"/>
          <w:lang w:val="en-US"/>
        </w:rPr>
        <w:t>có nguy cơ</w:t>
      </w:r>
      <w:r w:rsidR="005A354B" w:rsidRPr="005A354B">
        <w:rPr>
          <w:rFonts w:cstheme="majorHAnsi"/>
          <w:szCs w:val="26"/>
          <w:lang w:val="en-US"/>
        </w:rPr>
        <w:t>. Lu (1999) cũng có kết quả tương tự đối với các công ty Trung Quốc được liệt kê.</w:t>
      </w:r>
      <w:r w:rsidR="00FB5E86">
        <w:rPr>
          <w:rFonts w:cstheme="majorHAnsi"/>
          <w:szCs w:val="26"/>
          <w:lang w:val="en-US"/>
        </w:rPr>
        <w:t xml:space="preserve"> Do đó, nhóm tác giả đưa ra giả thuyết nghiên </w:t>
      </w:r>
      <w:r w:rsidR="00FB5E86">
        <w:rPr>
          <w:rFonts w:cstheme="majorHAnsi"/>
          <w:szCs w:val="26"/>
          <w:lang w:val="en-US"/>
        </w:rPr>
        <w:lastRenderedPageBreak/>
        <w:t>cứu là khả năng hoạt động liên tục có tác động nghịch đến chất lượ</w:t>
      </w:r>
      <w:r w:rsidR="00396575">
        <w:rPr>
          <w:rFonts w:cstheme="majorHAnsi"/>
          <w:szCs w:val="26"/>
          <w:lang w:val="en-US"/>
        </w:rPr>
        <w:t>ng báo cáo tài chính của các công ty niêm yết.</w:t>
      </w:r>
      <w:r w:rsidR="00DD6503">
        <w:rPr>
          <w:rFonts w:cstheme="majorHAnsi"/>
          <w:szCs w:val="26"/>
          <w:lang w:val="en-US"/>
        </w:rPr>
        <w:t xml:space="preserve"> </w:t>
      </w:r>
    </w:p>
    <w:p w14:paraId="7BC657FA" w14:textId="23B4F766" w:rsidR="00DD6503" w:rsidRDefault="00DD6503" w:rsidP="00855A15">
      <w:pPr>
        <w:spacing w:after="0" w:line="360" w:lineRule="auto"/>
        <w:ind w:firstLine="720"/>
        <w:rPr>
          <w:rFonts w:cstheme="majorHAnsi"/>
          <w:szCs w:val="26"/>
          <w:lang w:val="en-US"/>
        </w:rPr>
      </w:pPr>
      <w:r w:rsidRPr="00DD6503">
        <w:rPr>
          <w:rFonts w:cstheme="majorHAnsi"/>
          <w:szCs w:val="26"/>
          <w:lang w:val="en-US"/>
        </w:rPr>
        <w:t xml:space="preserve">Các nghiên cứu của </w:t>
      </w:r>
      <w:r w:rsidR="00AE69F4" w:rsidRPr="002C2D27">
        <w:rPr>
          <w:rFonts w:cstheme="majorHAnsi"/>
          <w:szCs w:val="26"/>
          <w:lang w:val="en-US"/>
        </w:rPr>
        <w:t xml:space="preserve">Habib </w:t>
      </w:r>
      <w:r w:rsidR="00AE69F4">
        <w:rPr>
          <w:rFonts w:cstheme="majorHAnsi"/>
          <w:szCs w:val="26"/>
          <w:lang w:val="en-US"/>
        </w:rPr>
        <w:t xml:space="preserve">và cộng sự </w:t>
      </w:r>
      <w:r w:rsidR="00190593">
        <w:rPr>
          <w:rFonts w:cstheme="majorHAnsi"/>
          <w:szCs w:val="26"/>
          <w:lang w:val="en-US"/>
        </w:rPr>
        <w:t>(</w:t>
      </w:r>
      <w:r w:rsidR="00AE69F4">
        <w:rPr>
          <w:rFonts w:cstheme="majorHAnsi"/>
          <w:szCs w:val="26"/>
          <w:lang w:val="en-US"/>
        </w:rPr>
        <w:t>2013</w:t>
      </w:r>
      <w:r w:rsidR="00190593">
        <w:rPr>
          <w:rFonts w:cstheme="majorHAnsi"/>
          <w:szCs w:val="26"/>
          <w:lang w:val="en-US"/>
        </w:rPr>
        <w:t>)</w:t>
      </w:r>
      <w:r w:rsidRPr="00DD6503">
        <w:rPr>
          <w:rFonts w:cstheme="majorHAnsi"/>
          <w:szCs w:val="26"/>
          <w:lang w:val="en-US"/>
        </w:rPr>
        <w:t xml:space="preserve"> cho rằng có công ty lớ</w:t>
      </w:r>
      <w:r w:rsidR="00036C43">
        <w:rPr>
          <w:rFonts w:cstheme="majorHAnsi"/>
          <w:szCs w:val="26"/>
          <w:lang w:val="en-US"/>
        </w:rPr>
        <w:t xml:space="preserve">n </w:t>
      </w:r>
      <w:r w:rsidR="004E7F57">
        <w:rPr>
          <w:rFonts w:cstheme="majorHAnsi"/>
          <w:szCs w:val="26"/>
          <w:lang w:val="en-US"/>
        </w:rPr>
        <w:t>tránh sử dụng thủ thuật để làm đẹp báo cáo tài chính</w:t>
      </w:r>
      <w:r w:rsidRPr="00DD6503">
        <w:rPr>
          <w:rFonts w:cstheme="majorHAnsi"/>
          <w:szCs w:val="26"/>
          <w:lang w:val="en-US"/>
        </w:rPr>
        <w:t xml:space="preserve"> </w:t>
      </w:r>
      <w:r w:rsidR="00036C43" w:rsidRPr="00036C43">
        <w:rPr>
          <w:rFonts w:cstheme="majorHAnsi"/>
          <w:szCs w:val="26"/>
          <w:lang w:val="en-US"/>
        </w:rPr>
        <w:t xml:space="preserve">bởi các công lớn luôn quan tâm đến danh tiếng của mình nên họ sẽ tránh việc thực hiện hành vi điều chỉnh lợi nhuận. Nghiên cứu của </w:t>
      </w:r>
      <w:r w:rsidR="002C2D27" w:rsidRPr="002C2D27">
        <w:rPr>
          <w:rFonts w:cstheme="majorHAnsi"/>
          <w:szCs w:val="26"/>
          <w:lang w:val="en-US"/>
        </w:rPr>
        <w:t xml:space="preserve">Charitou </w:t>
      </w:r>
      <w:r w:rsidR="002C2D27">
        <w:rPr>
          <w:rFonts w:cstheme="majorHAnsi"/>
          <w:szCs w:val="26"/>
          <w:lang w:val="en-US"/>
        </w:rPr>
        <w:t>và cộng sự</w:t>
      </w:r>
      <w:r w:rsidR="002C2D27" w:rsidRPr="002C2D27">
        <w:rPr>
          <w:rFonts w:cstheme="majorHAnsi"/>
          <w:szCs w:val="26"/>
          <w:lang w:val="en-US"/>
        </w:rPr>
        <w:t xml:space="preserve">, 2011; Chen </w:t>
      </w:r>
      <w:r w:rsidR="002C2D27">
        <w:rPr>
          <w:rFonts w:cstheme="majorHAnsi"/>
          <w:szCs w:val="26"/>
          <w:lang w:val="en-US"/>
        </w:rPr>
        <w:t>và cộng sự</w:t>
      </w:r>
      <w:r w:rsidR="002C2D27" w:rsidRPr="002C2D27">
        <w:rPr>
          <w:rFonts w:cstheme="majorHAnsi"/>
          <w:szCs w:val="26"/>
          <w:lang w:val="en-US"/>
        </w:rPr>
        <w:t xml:space="preserve">, 2010; Habib </w:t>
      </w:r>
      <w:r w:rsidR="002C2D27">
        <w:rPr>
          <w:rFonts w:cstheme="majorHAnsi"/>
          <w:szCs w:val="26"/>
          <w:lang w:val="en-US"/>
        </w:rPr>
        <w:t>và cộng sự, 2013; Selahudin và cộng sự</w:t>
      </w:r>
      <w:r w:rsidR="002C2D27" w:rsidRPr="002C2D27">
        <w:rPr>
          <w:rFonts w:cstheme="majorHAnsi"/>
          <w:szCs w:val="26"/>
          <w:lang w:val="en-US"/>
        </w:rPr>
        <w:t>, 2014</w:t>
      </w:r>
      <w:r w:rsidR="002C2D27">
        <w:rPr>
          <w:rFonts w:cstheme="majorHAnsi"/>
          <w:szCs w:val="26"/>
          <w:lang w:val="en-US"/>
        </w:rPr>
        <w:t xml:space="preserve"> </w:t>
      </w:r>
      <w:r w:rsidR="00036C43" w:rsidRPr="00036C43">
        <w:rPr>
          <w:rFonts w:cstheme="majorHAnsi"/>
          <w:szCs w:val="26"/>
          <w:lang w:val="en-US"/>
        </w:rPr>
        <w:t xml:space="preserve">cho thấy một số lý do tại sao có sự tác động tiêu cực của quy mô công ty trên hành vi </w:t>
      </w:r>
      <w:r w:rsidR="00EA0B22">
        <w:rPr>
          <w:rFonts w:cstheme="majorHAnsi"/>
          <w:szCs w:val="26"/>
          <w:lang w:val="en-US"/>
        </w:rPr>
        <w:t>quản lý thu nhập</w:t>
      </w:r>
      <w:r w:rsidR="00036C43" w:rsidRPr="00036C43">
        <w:rPr>
          <w:rFonts w:cstheme="majorHAnsi"/>
          <w:szCs w:val="26"/>
          <w:lang w:val="en-US"/>
        </w:rPr>
        <w:t xml:space="preserve"> đó là các công ty có quy mô lớn thường sẽ có hệ thống kiểm soát nội bộ phức tạp và có kiểm toán viên nội bộ có thẩm quyền. Hệ thống kiểm soát nội bộ sẽ giúp kiểm soát việc trình bày và công bố thông tin tài chính đến các nhà đầu tư. Nghiên cứu cũng chỉ ra rằng các công ty quy mô lớn có tác động tiêu và tiêu cực liên quan đến hành vi điều chỉnh lợi nhuận kế toán của doanh nghiệp. Nó là một yếu tố quyết định trong việc làm giảm các thao tác của các thông tin tài chính và cải thiện chất lượng báo cáo tài chính. Ngược lại, đối với các công ty nhỏ thường ít bị chú ý từ các nhà phân tích, chính phủ nên họ thường có xu hướng thực hiện thao tác tăng lợi nhuận trên báo cáo vì đạt được động lực thu hút nguồn vốn bổ sung từ bên ngoài.</w:t>
      </w:r>
      <w:r w:rsidRPr="00DD6503">
        <w:rPr>
          <w:rFonts w:cstheme="majorHAnsi"/>
          <w:szCs w:val="26"/>
          <w:lang w:val="en-US"/>
        </w:rPr>
        <w:t>.</w:t>
      </w:r>
    </w:p>
    <w:p w14:paraId="54B46308" w14:textId="0B411684" w:rsidR="00E80E00" w:rsidRPr="00DD6503" w:rsidRDefault="00964282" w:rsidP="00E80E00">
      <w:pPr>
        <w:spacing w:after="0" w:line="360" w:lineRule="auto"/>
        <w:ind w:firstLine="720"/>
        <w:rPr>
          <w:rFonts w:cstheme="majorHAnsi"/>
          <w:szCs w:val="26"/>
          <w:lang w:val="en-US"/>
        </w:rPr>
      </w:pPr>
      <w:r>
        <w:rPr>
          <w:rFonts w:cs="Times New Roman"/>
          <w:szCs w:val="26"/>
          <w:lang w:val="tr-TR"/>
        </w:rPr>
        <w:t>Nghiên cứu của Shah và cộng sự (2007), Faris (2010), Andani và cộng sự (2012) cho rằng tài sản cố định hữu hình</w:t>
      </w:r>
      <w:r w:rsidR="00500550">
        <w:rPr>
          <w:rFonts w:cs="Times New Roman"/>
          <w:szCs w:val="26"/>
          <w:lang w:val="tr-TR"/>
        </w:rPr>
        <w:t>, khả năng sinh lời</w:t>
      </w:r>
      <w:r>
        <w:rPr>
          <w:rFonts w:cs="Times New Roman"/>
          <w:szCs w:val="26"/>
          <w:lang w:val="tr-TR"/>
        </w:rPr>
        <w:t xml:space="preserve"> là một trong những đặc trưng không thể thiếu của doanh nghiệp. Các doanh nghiệp có tài sản cố định càng lớn thì càng bị sức ép tạo ra lợi nhuận càng nhiều để thể hiện hiệu quả sử dụng tài sản, vì vậy, sử dụng hành vi điều chỉnh lợi nhuận là tất yếu.</w:t>
      </w:r>
      <w:r w:rsidR="00747BD7">
        <w:rPr>
          <w:rFonts w:cs="Times New Roman"/>
          <w:szCs w:val="26"/>
          <w:lang w:val="tr-TR"/>
        </w:rPr>
        <w:t xml:space="preserve"> </w:t>
      </w:r>
      <w:r w:rsidR="00E80E00">
        <w:rPr>
          <w:rFonts w:cstheme="majorHAnsi"/>
          <w:szCs w:val="26"/>
          <w:lang w:val="en-US"/>
        </w:rPr>
        <w:t>Đòn bẩy tài chính</w:t>
      </w:r>
      <w:r w:rsidR="00747BD7">
        <w:rPr>
          <w:rFonts w:cstheme="majorHAnsi"/>
          <w:szCs w:val="26"/>
          <w:lang w:val="en-US"/>
        </w:rPr>
        <w:t>, vốn lưu động c</w:t>
      </w:r>
      <w:r w:rsidR="00E80E00" w:rsidRPr="00E80E00">
        <w:rPr>
          <w:rFonts w:cstheme="majorHAnsi"/>
          <w:szCs w:val="26"/>
          <w:lang w:val="en-US"/>
        </w:rPr>
        <w:t xml:space="preserve">ũng có thể ảnh hưởng đến mức độ quản lý thu nhập và được sử dụng làm </w:t>
      </w:r>
      <w:r w:rsidR="00E80E00">
        <w:rPr>
          <w:rFonts w:cstheme="majorHAnsi"/>
          <w:szCs w:val="26"/>
          <w:lang w:val="en-US"/>
        </w:rPr>
        <w:t>biến kiểm soát trong mô hình</w:t>
      </w:r>
      <w:r w:rsidR="00E80E00" w:rsidRPr="00E80E00">
        <w:rPr>
          <w:rFonts w:cstheme="majorHAnsi"/>
          <w:szCs w:val="26"/>
          <w:lang w:val="en-US"/>
        </w:rPr>
        <w:t xml:space="preserve"> (Charitou </w:t>
      </w:r>
      <w:r w:rsidR="00E80E00">
        <w:rPr>
          <w:rFonts w:cstheme="majorHAnsi"/>
          <w:szCs w:val="26"/>
          <w:lang w:val="en-US"/>
        </w:rPr>
        <w:t>và cộng sự, 2011;</w:t>
      </w:r>
      <w:r w:rsidR="00E80E00" w:rsidRPr="00E80E00">
        <w:rPr>
          <w:rFonts w:cstheme="majorHAnsi"/>
          <w:szCs w:val="26"/>
          <w:lang w:val="en-US"/>
        </w:rPr>
        <w:t xml:space="preserve"> Chen và cộng sự</w:t>
      </w:r>
      <w:r w:rsidR="00E80E00">
        <w:rPr>
          <w:rFonts w:cstheme="majorHAnsi"/>
          <w:szCs w:val="26"/>
          <w:lang w:val="en-US"/>
        </w:rPr>
        <w:t>, 2010</w:t>
      </w:r>
      <w:r w:rsidR="00E80E00" w:rsidRPr="00E80E00">
        <w:rPr>
          <w:rFonts w:cstheme="majorHAnsi"/>
          <w:szCs w:val="26"/>
          <w:lang w:val="en-US"/>
        </w:rPr>
        <w:t xml:space="preserve">). </w:t>
      </w:r>
      <w:r w:rsidR="00202FEA">
        <w:rPr>
          <w:rFonts w:cstheme="majorHAnsi"/>
          <w:szCs w:val="26"/>
          <w:lang w:val="en-US"/>
        </w:rPr>
        <w:t>Các nhà nghiên cứu cho</w:t>
      </w:r>
      <w:r w:rsidR="00E80E00" w:rsidRPr="00E80E00">
        <w:rPr>
          <w:rFonts w:cstheme="majorHAnsi"/>
          <w:szCs w:val="26"/>
          <w:lang w:val="en-US"/>
        </w:rPr>
        <w:t xml:space="preserve"> rằng các công ty thường có xu hướng tham gia quản lý thu nhập cao hơn để tránh vi phạm giao ước nợ (DeFond &amp; Jiambalvo, 1994; DeFond</w:t>
      </w:r>
      <w:r w:rsidR="00202FEA">
        <w:rPr>
          <w:rFonts w:cstheme="majorHAnsi"/>
          <w:szCs w:val="26"/>
          <w:lang w:val="en-US"/>
        </w:rPr>
        <w:t xml:space="preserve"> </w:t>
      </w:r>
      <w:r w:rsidR="00E80E00" w:rsidRPr="00E80E00">
        <w:rPr>
          <w:rFonts w:cstheme="majorHAnsi"/>
          <w:szCs w:val="26"/>
          <w:lang w:val="en-US"/>
        </w:rPr>
        <w:t>&amp; Park, 1997).</w:t>
      </w:r>
    </w:p>
    <w:p w14:paraId="0EC963E8" w14:textId="77777777" w:rsidR="00B576AF" w:rsidRPr="00341848" w:rsidRDefault="00BE158C" w:rsidP="00BE158C">
      <w:pPr>
        <w:spacing w:after="0" w:line="360" w:lineRule="auto"/>
        <w:rPr>
          <w:rFonts w:cstheme="majorHAnsi"/>
          <w:b/>
          <w:szCs w:val="26"/>
        </w:rPr>
      </w:pPr>
      <w:r w:rsidRPr="00341848">
        <w:rPr>
          <w:rFonts w:cstheme="majorHAnsi"/>
          <w:b/>
          <w:szCs w:val="26"/>
        </w:rPr>
        <w:t>Bảng 1: Các giả thuyết nghiên cứu và mối quan hệ với các lý thuyết nền tảng có liên quan.</w:t>
      </w:r>
    </w:p>
    <w:tbl>
      <w:tblPr>
        <w:tblW w:w="590" w:type="pct"/>
        <w:tblLook w:val="04A0" w:firstRow="1" w:lastRow="0" w:firstColumn="1" w:lastColumn="0" w:noHBand="0" w:noVBand="1"/>
      </w:tblPr>
      <w:tblGrid>
        <w:gridCol w:w="1133"/>
      </w:tblGrid>
      <w:tr w:rsidR="00B576AF" w:rsidRPr="006541FC" w14:paraId="042A5270" w14:textId="77777777" w:rsidTr="00B576AF">
        <w:trPr>
          <w:trHeight w:val="286"/>
        </w:trPr>
        <w:tc>
          <w:tcPr>
            <w:tcW w:w="5000" w:type="pct"/>
            <w:tcBorders>
              <w:top w:val="nil"/>
              <w:left w:val="nil"/>
              <w:bottom w:val="nil"/>
              <w:right w:val="nil"/>
            </w:tcBorders>
            <w:shd w:val="clear" w:color="auto" w:fill="auto"/>
            <w:noWrap/>
            <w:vAlign w:val="bottom"/>
          </w:tcPr>
          <w:p w14:paraId="71B692CA" w14:textId="0DFE8E30" w:rsidR="00B576AF" w:rsidRPr="006541FC" w:rsidRDefault="00B576AF" w:rsidP="00AC7588">
            <w:pPr>
              <w:spacing w:after="0" w:line="240" w:lineRule="auto"/>
              <w:rPr>
                <w:rFonts w:ascii="Times New Roman" w:eastAsia="Times New Roman" w:hAnsi="Times New Roman" w:cs="Times New Roman"/>
                <w:color w:val="000000"/>
                <w:lang w:val="en-US"/>
              </w:rPr>
            </w:pPr>
          </w:p>
        </w:tc>
      </w:tr>
    </w:tbl>
    <w:tbl>
      <w:tblPr>
        <w:tblStyle w:val="TableGrid"/>
        <w:tblW w:w="5000" w:type="pct"/>
        <w:tblLook w:val="04A0" w:firstRow="1" w:lastRow="0" w:firstColumn="1" w:lastColumn="0" w:noHBand="0" w:noVBand="1"/>
      </w:tblPr>
      <w:tblGrid>
        <w:gridCol w:w="927"/>
        <w:gridCol w:w="3872"/>
        <w:gridCol w:w="3561"/>
        <w:gridCol w:w="1238"/>
      </w:tblGrid>
      <w:tr w:rsidR="00BE158C" w:rsidRPr="00341848" w14:paraId="075A9EBD" w14:textId="77777777" w:rsidTr="006541FC">
        <w:trPr>
          <w:tblHeader/>
        </w:trPr>
        <w:tc>
          <w:tcPr>
            <w:tcW w:w="483" w:type="pct"/>
            <w:shd w:val="clear" w:color="auto" w:fill="BFBFBF" w:themeFill="background1" w:themeFillShade="BF"/>
            <w:vAlign w:val="center"/>
          </w:tcPr>
          <w:p w14:paraId="75A1BE79" w14:textId="77777777" w:rsidR="00BE158C" w:rsidRPr="00341848" w:rsidRDefault="00BE158C" w:rsidP="006541FC">
            <w:pPr>
              <w:spacing w:line="360" w:lineRule="auto"/>
              <w:rPr>
                <w:rFonts w:cstheme="majorHAnsi"/>
                <w:b/>
                <w:szCs w:val="26"/>
                <w:lang w:val="en-US"/>
              </w:rPr>
            </w:pPr>
            <w:r w:rsidRPr="00341848">
              <w:rPr>
                <w:rFonts w:cstheme="majorHAnsi"/>
                <w:b/>
                <w:szCs w:val="26"/>
                <w:lang w:val="en-US"/>
              </w:rPr>
              <w:t>Giả thuyết</w:t>
            </w:r>
          </w:p>
        </w:tc>
        <w:tc>
          <w:tcPr>
            <w:tcW w:w="2017" w:type="pct"/>
            <w:shd w:val="clear" w:color="auto" w:fill="BFBFBF" w:themeFill="background1" w:themeFillShade="BF"/>
            <w:vAlign w:val="center"/>
          </w:tcPr>
          <w:p w14:paraId="591513A1" w14:textId="77777777" w:rsidR="00BE158C" w:rsidRPr="00341848" w:rsidRDefault="00BE158C" w:rsidP="006541FC">
            <w:pPr>
              <w:spacing w:line="360" w:lineRule="auto"/>
              <w:rPr>
                <w:rFonts w:cstheme="majorHAnsi"/>
                <w:b/>
                <w:szCs w:val="26"/>
                <w:lang w:val="en-US"/>
              </w:rPr>
            </w:pPr>
            <w:r w:rsidRPr="00341848">
              <w:rPr>
                <w:rFonts w:cstheme="majorHAnsi"/>
                <w:b/>
                <w:szCs w:val="26"/>
                <w:lang w:val="en-US"/>
              </w:rPr>
              <w:t>Nội dung giả thuyết</w:t>
            </w:r>
          </w:p>
        </w:tc>
        <w:tc>
          <w:tcPr>
            <w:tcW w:w="1855" w:type="pct"/>
            <w:shd w:val="clear" w:color="auto" w:fill="BFBFBF" w:themeFill="background1" w:themeFillShade="BF"/>
            <w:vAlign w:val="center"/>
          </w:tcPr>
          <w:p w14:paraId="189EE214" w14:textId="77777777" w:rsidR="00BE158C" w:rsidRPr="00341848" w:rsidRDefault="00BE158C" w:rsidP="006541FC">
            <w:pPr>
              <w:spacing w:line="360" w:lineRule="auto"/>
              <w:rPr>
                <w:rFonts w:cstheme="majorHAnsi"/>
                <w:b/>
                <w:szCs w:val="26"/>
                <w:lang w:val="en-US"/>
              </w:rPr>
            </w:pPr>
            <w:r w:rsidRPr="00341848">
              <w:rPr>
                <w:rFonts w:cstheme="majorHAnsi"/>
                <w:b/>
                <w:szCs w:val="26"/>
                <w:lang w:val="en-US"/>
              </w:rPr>
              <w:t>Lý thuyết liên quan</w:t>
            </w:r>
          </w:p>
        </w:tc>
        <w:tc>
          <w:tcPr>
            <w:tcW w:w="645" w:type="pct"/>
            <w:shd w:val="clear" w:color="auto" w:fill="BFBFBF" w:themeFill="background1" w:themeFillShade="BF"/>
            <w:vAlign w:val="center"/>
          </w:tcPr>
          <w:p w14:paraId="2253E3E5" w14:textId="77777777" w:rsidR="00BE158C" w:rsidRPr="00341848" w:rsidRDefault="00BE158C" w:rsidP="006541FC">
            <w:pPr>
              <w:spacing w:line="360" w:lineRule="auto"/>
              <w:rPr>
                <w:rFonts w:cstheme="majorHAnsi"/>
                <w:b/>
                <w:szCs w:val="26"/>
                <w:lang w:val="en-US"/>
              </w:rPr>
            </w:pPr>
            <w:r w:rsidRPr="00341848">
              <w:rPr>
                <w:rFonts w:cstheme="majorHAnsi"/>
                <w:b/>
                <w:szCs w:val="26"/>
                <w:lang w:val="en-US"/>
              </w:rPr>
              <w:t>Kỳ vọng</w:t>
            </w:r>
          </w:p>
        </w:tc>
      </w:tr>
      <w:tr w:rsidR="00BE158C" w:rsidRPr="00341848" w14:paraId="6DEA5461" w14:textId="77777777" w:rsidTr="006541FC">
        <w:tc>
          <w:tcPr>
            <w:tcW w:w="483" w:type="pct"/>
            <w:vAlign w:val="center"/>
          </w:tcPr>
          <w:p w14:paraId="3A886445" w14:textId="77777777" w:rsidR="00BE158C" w:rsidRPr="00341848" w:rsidRDefault="00BE158C" w:rsidP="006541FC">
            <w:pPr>
              <w:spacing w:line="360" w:lineRule="auto"/>
              <w:jc w:val="center"/>
              <w:rPr>
                <w:rFonts w:cstheme="majorHAnsi"/>
                <w:b/>
                <w:szCs w:val="26"/>
                <w:lang w:val="en-US"/>
              </w:rPr>
            </w:pPr>
            <w:r w:rsidRPr="00341848">
              <w:rPr>
                <w:rFonts w:cstheme="majorHAnsi"/>
                <w:b/>
                <w:szCs w:val="26"/>
                <w:lang w:val="en-US"/>
              </w:rPr>
              <w:t>H1</w:t>
            </w:r>
          </w:p>
        </w:tc>
        <w:tc>
          <w:tcPr>
            <w:tcW w:w="2017" w:type="pct"/>
            <w:vAlign w:val="center"/>
          </w:tcPr>
          <w:p w14:paraId="1D7B79F8" w14:textId="30EB0249" w:rsidR="00BE158C" w:rsidRPr="00341848" w:rsidRDefault="00370AC8" w:rsidP="00683193">
            <w:pPr>
              <w:spacing w:line="360" w:lineRule="auto"/>
              <w:rPr>
                <w:rFonts w:cstheme="majorHAnsi"/>
                <w:szCs w:val="26"/>
                <w:lang w:val="en-US"/>
              </w:rPr>
            </w:pPr>
            <w:r>
              <w:rPr>
                <w:rFonts w:cstheme="majorHAnsi"/>
                <w:szCs w:val="26"/>
                <w:lang w:val="pt-BR"/>
              </w:rPr>
              <w:t>Khả năng hoạt động liên tục</w:t>
            </w:r>
            <w:r w:rsidR="00B576AF">
              <w:rPr>
                <w:rFonts w:cstheme="majorHAnsi"/>
                <w:szCs w:val="26"/>
                <w:lang w:val="pt-BR"/>
              </w:rPr>
              <w:t xml:space="preserve"> </w:t>
            </w:r>
            <w:r w:rsidR="00BE158C" w:rsidRPr="00341848">
              <w:rPr>
                <w:rFonts w:cstheme="majorHAnsi"/>
                <w:szCs w:val="26"/>
                <w:lang w:val="pt-BR"/>
              </w:rPr>
              <w:t>có</w:t>
            </w:r>
            <w:r w:rsidR="00B576AF">
              <w:rPr>
                <w:rFonts w:cstheme="majorHAnsi"/>
                <w:szCs w:val="26"/>
                <w:lang w:val="pt-BR"/>
              </w:rPr>
              <w:t xml:space="preserve"> mối tương quan</w:t>
            </w:r>
            <w:r w:rsidR="00683193">
              <w:rPr>
                <w:rFonts w:cstheme="majorHAnsi"/>
                <w:szCs w:val="26"/>
                <w:lang w:val="pt-BR"/>
              </w:rPr>
              <w:t xml:space="preserve"> nghịch</w:t>
            </w:r>
            <w:r w:rsidR="00B576AF">
              <w:rPr>
                <w:rFonts w:cstheme="majorHAnsi"/>
                <w:szCs w:val="26"/>
                <w:lang w:val="pt-BR"/>
              </w:rPr>
              <w:t xml:space="preserve"> với </w:t>
            </w:r>
            <w:r w:rsidR="00683193">
              <w:rPr>
                <w:rFonts w:cstheme="majorHAnsi"/>
                <w:szCs w:val="26"/>
                <w:lang w:val="en-US"/>
              </w:rPr>
              <w:t xml:space="preserve">chất </w:t>
            </w:r>
            <w:r w:rsidR="00683193">
              <w:rPr>
                <w:rFonts w:cstheme="majorHAnsi"/>
                <w:szCs w:val="26"/>
                <w:lang w:val="en-US"/>
              </w:rPr>
              <w:lastRenderedPageBreak/>
              <w:t>lượng báo cáo tài chính</w:t>
            </w:r>
            <w:r w:rsidR="00BE158C" w:rsidRPr="00341848">
              <w:rPr>
                <w:rFonts w:cstheme="majorHAnsi"/>
                <w:szCs w:val="26"/>
                <w:lang w:val="pt-BR"/>
              </w:rPr>
              <w:t>.</w:t>
            </w:r>
          </w:p>
        </w:tc>
        <w:tc>
          <w:tcPr>
            <w:tcW w:w="1855" w:type="pct"/>
            <w:vAlign w:val="center"/>
          </w:tcPr>
          <w:p w14:paraId="79DECAFD" w14:textId="1C3C6558" w:rsidR="00BE158C" w:rsidRPr="00341848" w:rsidRDefault="00BE158C" w:rsidP="00683193">
            <w:pPr>
              <w:pStyle w:val="ListParagraph"/>
              <w:numPr>
                <w:ilvl w:val="0"/>
                <w:numId w:val="2"/>
              </w:numPr>
              <w:spacing w:line="360" w:lineRule="auto"/>
              <w:ind w:left="175" w:hanging="142"/>
              <w:rPr>
                <w:rFonts w:cstheme="majorHAnsi"/>
                <w:szCs w:val="26"/>
                <w:lang w:val="en-US"/>
              </w:rPr>
            </w:pPr>
            <w:r w:rsidRPr="00341848">
              <w:rPr>
                <w:rFonts w:cstheme="majorHAnsi"/>
                <w:szCs w:val="26"/>
                <w:lang w:val="en-US"/>
              </w:rPr>
              <w:lastRenderedPageBreak/>
              <w:t xml:space="preserve">Lý thuyết </w:t>
            </w:r>
            <w:r w:rsidR="00683193">
              <w:rPr>
                <w:rFonts w:cstheme="majorHAnsi"/>
                <w:szCs w:val="26"/>
                <w:lang w:val="en-US"/>
              </w:rPr>
              <w:t>ủy nhiệm</w:t>
            </w:r>
          </w:p>
        </w:tc>
        <w:tc>
          <w:tcPr>
            <w:tcW w:w="645" w:type="pct"/>
            <w:vAlign w:val="center"/>
          </w:tcPr>
          <w:p w14:paraId="731E5686" w14:textId="6BD7012F" w:rsidR="00BE158C" w:rsidRPr="00341848" w:rsidRDefault="00683193" w:rsidP="006541FC">
            <w:pPr>
              <w:spacing w:line="360" w:lineRule="auto"/>
              <w:jc w:val="center"/>
              <w:rPr>
                <w:rFonts w:cstheme="majorHAnsi"/>
                <w:b/>
                <w:szCs w:val="26"/>
                <w:lang w:val="en-US"/>
              </w:rPr>
            </w:pPr>
            <w:r>
              <w:rPr>
                <w:rFonts w:cstheme="majorHAnsi"/>
                <w:b/>
                <w:szCs w:val="26"/>
                <w:lang w:val="en-US"/>
              </w:rPr>
              <w:t>-</w:t>
            </w:r>
          </w:p>
        </w:tc>
      </w:tr>
      <w:tr w:rsidR="00BE158C" w:rsidRPr="00341848" w14:paraId="6144C4D9" w14:textId="77777777" w:rsidTr="006541FC">
        <w:tc>
          <w:tcPr>
            <w:tcW w:w="483" w:type="pct"/>
            <w:vAlign w:val="center"/>
          </w:tcPr>
          <w:p w14:paraId="51B3F743" w14:textId="77777777" w:rsidR="00BE158C" w:rsidRPr="00341848" w:rsidRDefault="00BE158C" w:rsidP="006541FC">
            <w:pPr>
              <w:spacing w:line="360" w:lineRule="auto"/>
              <w:jc w:val="center"/>
              <w:rPr>
                <w:rFonts w:cstheme="majorHAnsi"/>
                <w:b/>
                <w:szCs w:val="26"/>
                <w:lang w:val="en-US"/>
              </w:rPr>
            </w:pPr>
            <w:r w:rsidRPr="00341848">
              <w:rPr>
                <w:rFonts w:cstheme="majorHAnsi"/>
                <w:b/>
                <w:szCs w:val="26"/>
                <w:lang w:val="en-US"/>
              </w:rPr>
              <w:lastRenderedPageBreak/>
              <w:t>H2</w:t>
            </w:r>
          </w:p>
        </w:tc>
        <w:tc>
          <w:tcPr>
            <w:tcW w:w="2017" w:type="pct"/>
            <w:vAlign w:val="center"/>
          </w:tcPr>
          <w:p w14:paraId="0021A015" w14:textId="50B7AB48" w:rsidR="00BE158C" w:rsidRPr="00341848" w:rsidRDefault="001C2733" w:rsidP="00B576AF">
            <w:pPr>
              <w:spacing w:line="360" w:lineRule="auto"/>
              <w:rPr>
                <w:rFonts w:cstheme="majorHAnsi"/>
                <w:szCs w:val="26"/>
                <w:lang w:val="en-US"/>
              </w:rPr>
            </w:pPr>
            <w:r>
              <w:rPr>
                <w:rFonts w:cstheme="majorHAnsi"/>
                <w:szCs w:val="26"/>
                <w:lang w:val="en-US"/>
              </w:rPr>
              <w:t>T</w:t>
            </w:r>
            <w:r w:rsidRPr="001C2733">
              <w:rPr>
                <w:rFonts w:cstheme="majorHAnsi"/>
                <w:szCs w:val="26"/>
                <w:lang w:val="en-US"/>
              </w:rPr>
              <w:t>ài sản cố định hữu hình</w:t>
            </w:r>
            <w:r w:rsidR="00B576AF">
              <w:rPr>
                <w:rFonts w:cstheme="majorHAnsi"/>
                <w:szCs w:val="26"/>
                <w:lang w:val="en-US"/>
              </w:rPr>
              <w:t xml:space="preserve"> </w:t>
            </w:r>
            <w:r w:rsidR="00B576AF" w:rsidRPr="00341848">
              <w:rPr>
                <w:rFonts w:cstheme="majorHAnsi"/>
                <w:szCs w:val="26"/>
                <w:lang w:val="pt-BR"/>
              </w:rPr>
              <w:t>có</w:t>
            </w:r>
            <w:r w:rsidR="00B576AF">
              <w:rPr>
                <w:rFonts w:cstheme="majorHAnsi"/>
                <w:szCs w:val="26"/>
                <w:lang w:val="pt-BR"/>
              </w:rPr>
              <w:t xml:space="preserve"> mối tương quan</w:t>
            </w:r>
            <w:r w:rsidR="00B576AF" w:rsidRPr="00341848">
              <w:rPr>
                <w:rFonts w:cstheme="majorHAnsi"/>
                <w:szCs w:val="26"/>
                <w:lang w:val="pt-BR"/>
              </w:rPr>
              <w:t xml:space="preserve"> thuậ</w:t>
            </w:r>
            <w:r w:rsidR="00B576AF">
              <w:rPr>
                <w:rFonts w:cstheme="majorHAnsi"/>
                <w:szCs w:val="26"/>
                <w:lang w:val="pt-BR"/>
              </w:rPr>
              <w:t xml:space="preserve">n đối với </w:t>
            </w:r>
            <w:r w:rsidR="0057720C">
              <w:rPr>
                <w:rFonts w:cstheme="majorHAnsi"/>
                <w:szCs w:val="26"/>
                <w:lang w:val="en-US"/>
              </w:rPr>
              <w:t>chất lượng báo cáo tài chính</w:t>
            </w:r>
          </w:p>
        </w:tc>
        <w:tc>
          <w:tcPr>
            <w:tcW w:w="1855" w:type="pct"/>
            <w:vAlign w:val="center"/>
          </w:tcPr>
          <w:p w14:paraId="175E74AF" w14:textId="1CA10935" w:rsidR="00BE158C" w:rsidRPr="00341848" w:rsidRDefault="00EC54EA" w:rsidP="006541FC">
            <w:pPr>
              <w:pStyle w:val="ListParagraph"/>
              <w:numPr>
                <w:ilvl w:val="0"/>
                <w:numId w:val="2"/>
              </w:numPr>
              <w:spacing w:line="360" w:lineRule="auto"/>
              <w:ind w:left="175" w:hanging="175"/>
              <w:rPr>
                <w:rFonts w:cstheme="majorHAnsi"/>
                <w:szCs w:val="26"/>
                <w:lang w:val="en-US"/>
              </w:rPr>
            </w:pPr>
            <w:r w:rsidRPr="00341848">
              <w:rPr>
                <w:rFonts w:cstheme="majorHAnsi"/>
                <w:szCs w:val="26"/>
                <w:lang w:val="en-US"/>
              </w:rPr>
              <w:t xml:space="preserve">Lý thuyết </w:t>
            </w:r>
            <w:r>
              <w:rPr>
                <w:rFonts w:cstheme="majorHAnsi"/>
                <w:szCs w:val="26"/>
                <w:lang w:val="en-US"/>
              </w:rPr>
              <w:t>ủy nhiệm</w:t>
            </w:r>
          </w:p>
        </w:tc>
        <w:tc>
          <w:tcPr>
            <w:tcW w:w="645" w:type="pct"/>
            <w:vAlign w:val="center"/>
          </w:tcPr>
          <w:p w14:paraId="1DAF1852" w14:textId="77777777" w:rsidR="00BE158C" w:rsidRPr="00341848" w:rsidRDefault="00BE158C" w:rsidP="006541FC">
            <w:pPr>
              <w:spacing w:line="360" w:lineRule="auto"/>
              <w:jc w:val="center"/>
              <w:rPr>
                <w:rFonts w:cstheme="majorHAnsi"/>
                <w:b/>
                <w:szCs w:val="26"/>
                <w:lang w:val="en-US"/>
              </w:rPr>
            </w:pPr>
            <w:r w:rsidRPr="00341848">
              <w:rPr>
                <w:rFonts w:cstheme="majorHAnsi"/>
                <w:b/>
                <w:szCs w:val="26"/>
                <w:lang w:val="en-US"/>
              </w:rPr>
              <w:t>+</w:t>
            </w:r>
          </w:p>
        </w:tc>
      </w:tr>
      <w:tr w:rsidR="00BE158C" w:rsidRPr="00341848" w14:paraId="5C001C03" w14:textId="77777777" w:rsidTr="006541FC">
        <w:tc>
          <w:tcPr>
            <w:tcW w:w="483" w:type="pct"/>
            <w:vAlign w:val="center"/>
          </w:tcPr>
          <w:p w14:paraId="2640A87A" w14:textId="77777777" w:rsidR="00BE158C" w:rsidRPr="00341848" w:rsidRDefault="00BE158C" w:rsidP="006541FC">
            <w:pPr>
              <w:spacing w:line="360" w:lineRule="auto"/>
              <w:jc w:val="center"/>
              <w:rPr>
                <w:rFonts w:cstheme="majorHAnsi"/>
                <w:b/>
                <w:szCs w:val="26"/>
                <w:lang w:val="en-US"/>
              </w:rPr>
            </w:pPr>
            <w:r w:rsidRPr="00341848">
              <w:rPr>
                <w:rFonts w:cstheme="majorHAnsi"/>
                <w:b/>
                <w:szCs w:val="26"/>
                <w:lang w:val="en-US"/>
              </w:rPr>
              <w:t>H3</w:t>
            </w:r>
          </w:p>
        </w:tc>
        <w:tc>
          <w:tcPr>
            <w:tcW w:w="2017" w:type="pct"/>
            <w:vAlign w:val="center"/>
          </w:tcPr>
          <w:p w14:paraId="198C1C86" w14:textId="3697E913" w:rsidR="00BE158C" w:rsidRPr="00341848" w:rsidRDefault="001C2733" w:rsidP="00EC54EA">
            <w:pPr>
              <w:spacing w:line="360" w:lineRule="auto"/>
              <w:rPr>
                <w:rFonts w:cstheme="majorHAnsi"/>
                <w:szCs w:val="26"/>
                <w:lang w:val="en-US"/>
              </w:rPr>
            </w:pPr>
            <w:r>
              <w:rPr>
                <w:rFonts w:cstheme="majorHAnsi"/>
                <w:szCs w:val="26"/>
                <w:lang w:val="pt-BR"/>
              </w:rPr>
              <w:t>T</w:t>
            </w:r>
            <w:r w:rsidR="006D4E4C">
              <w:rPr>
                <w:rFonts w:cstheme="majorHAnsi"/>
                <w:szCs w:val="26"/>
                <w:lang w:val="pt-BR"/>
              </w:rPr>
              <w:t>ỷ lệ t</w:t>
            </w:r>
            <w:r w:rsidRPr="001C2733">
              <w:rPr>
                <w:rFonts w:cstheme="majorHAnsi"/>
                <w:szCs w:val="26"/>
                <w:lang w:val="pt-BR"/>
              </w:rPr>
              <w:t>ổng nợ phải trả trên tổng tài sản</w:t>
            </w:r>
            <w:r w:rsidR="00B576AF">
              <w:rPr>
                <w:rFonts w:cstheme="majorHAnsi"/>
                <w:szCs w:val="26"/>
                <w:lang w:val="pt-BR"/>
              </w:rPr>
              <w:t xml:space="preserve"> </w:t>
            </w:r>
            <w:r w:rsidR="00B576AF" w:rsidRPr="00341848">
              <w:rPr>
                <w:rFonts w:cstheme="majorHAnsi"/>
                <w:szCs w:val="26"/>
                <w:lang w:val="pt-BR"/>
              </w:rPr>
              <w:t>có</w:t>
            </w:r>
            <w:r w:rsidR="00B576AF">
              <w:rPr>
                <w:rFonts w:cstheme="majorHAnsi"/>
                <w:szCs w:val="26"/>
                <w:lang w:val="pt-BR"/>
              </w:rPr>
              <w:t xml:space="preserve"> mối tương quan</w:t>
            </w:r>
            <w:r w:rsidR="00B576AF" w:rsidRPr="00341848">
              <w:rPr>
                <w:rFonts w:cstheme="majorHAnsi"/>
                <w:szCs w:val="26"/>
                <w:lang w:val="pt-BR"/>
              </w:rPr>
              <w:t xml:space="preserve"> </w:t>
            </w:r>
            <w:r w:rsidR="00EC54EA">
              <w:rPr>
                <w:rFonts w:cstheme="majorHAnsi"/>
                <w:szCs w:val="26"/>
                <w:lang w:val="pt-BR"/>
              </w:rPr>
              <w:t>nghịch</w:t>
            </w:r>
            <w:r w:rsidR="00B576AF">
              <w:rPr>
                <w:rFonts w:cstheme="majorHAnsi"/>
                <w:szCs w:val="26"/>
                <w:lang w:val="pt-BR"/>
              </w:rPr>
              <w:t xml:space="preserve"> đối với </w:t>
            </w:r>
            <w:r w:rsidR="0057720C">
              <w:rPr>
                <w:rFonts w:cstheme="majorHAnsi"/>
                <w:szCs w:val="26"/>
                <w:lang w:val="en-US"/>
              </w:rPr>
              <w:t>chất lượng báo cáo tài chính</w:t>
            </w:r>
          </w:p>
        </w:tc>
        <w:tc>
          <w:tcPr>
            <w:tcW w:w="1855" w:type="pct"/>
            <w:vAlign w:val="center"/>
          </w:tcPr>
          <w:p w14:paraId="3B89A3F7" w14:textId="1A069ABA" w:rsidR="00BE158C" w:rsidRPr="00341848" w:rsidRDefault="00EC54EA" w:rsidP="006541FC">
            <w:pPr>
              <w:pStyle w:val="ListParagraph"/>
              <w:numPr>
                <w:ilvl w:val="0"/>
                <w:numId w:val="2"/>
              </w:numPr>
              <w:spacing w:line="360" w:lineRule="auto"/>
              <w:ind w:left="175" w:hanging="175"/>
              <w:rPr>
                <w:rFonts w:cstheme="majorHAnsi"/>
                <w:szCs w:val="26"/>
                <w:lang w:val="en-US"/>
              </w:rPr>
            </w:pPr>
            <w:r w:rsidRPr="00341848">
              <w:rPr>
                <w:rFonts w:cstheme="majorHAnsi"/>
                <w:szCs w:val="26"/>
                <w:lang w:val="en-US"/>
              </w:rPr>
              <w:t xml:space="preserve">Lý thuyết </w:t>
            </w:r>
            <w:r>
              <w:rPr>
                <w:rFonts w:cstheme="majorHAnsi"/>
                <w:szCs w:val="26"/>
                <w:lang w:val="en-US"/>
              </w:rPr>
              <w:t>ủy nhiệm</w:t>
            </w:r>
          </w:p>
        </w:tc>
        <w:tc>
          <w:tcPr>
            <w:tcW w:w="645" w:type="pct"/>
            <w:vAlign w:val="center"/>
          </w:tcPr>
          <w:p w14:paraId="2A641180" w14:textId="41D7D83F" w:rsidR="00BE158C" w:rsidRPr="00341848" w:rsidRDefault="00EC54EA" w:rsidP="006541FC">
            <w:pPr>
              <w:spacing w:line="360" w:lineRule="auto"/>
              <w:jc w:val="center"/>
              <w:rPr>
                <w:rFonts w:cstheme="majorHAnsi"/>
                <w:b/>
                <w:szCs w:val="26"/>
                <w:lang w:val="en-US"/>
              </w:rPr>
            </w:pPr>
            <w:r>
              <w:rPr>
                <w:rFonts w:cstheme="majorHAnsi"/>
                <w:b/>
                <w:szCs w:val="26"/>
                <w:lang w:val="en-US"/>
              </w:rPr>
              <w:t>-</w:t>
            </w:r>
          </w:p>
        </w:tc>
      </w:tr>
      <w:tr w:rsidR="00B576AF" w:rsidRPr="00341848" w14:paraId="65FFB492" w14:textId="77777777" w:rsidTr="006541FC">
        <w:tc>
          <w:tcPr>
            <w:tcW w:w="483" w:type="pct"/>
            <w:vAlign w:val="center"/>
          </w:tcPr>
          <w:p w14:paraId="26CE1E1B" w14:textId="54BDD896" w:rsidR="00B576AF" w:rsidRPr="00341848" w:rsidRDefault="00B576AF" w:rsidP="006541FC">
            <w:pPr>
              <w:spacing w:line="360" w:lineRule="auto"/>
              <w:jc w:val="center"/>
              <w:rPr>
                <w:rFonts w:cstheme="majorHAnsi"/>
                <w:b/>
                <w:szCs w:val="26"/>
                <w:lang w:val="en-US"/>
              </w:rPr>
            </w:pPr>
            <w:r>
              <w:rPr>
                <w:rFonts w:cstheme="majorHAnsi"/>
                <w:b/>
                <w:szCs w:val="26"/>
                <w:lang w:val="en-US"/>
              </w:rPr>
              <w:t>H4</w:t>
            </w:r>
          </w:p>
        </w:tc>
        <w:tc>
          <w:tcPr>
            <w:tcW w:w="2017" w:type="pct"/>
            <w:vAlign w:val="center"/>
          </w:tcPr>
          <w:p w14:paraId="4C65CB1F" w14:textId="68E35031" w:rsidR="00B576AF" w:rsidRPr="00341848" w:rsidRDefault="006D4E4C" w:rsidP="00C55E20">
            <w:pPr>
              <w:spacing w:line="360" w:lineRule="auto"/>
              <w:rPr>
                <w:rFonts w:cstheme="majorHAnsi"/>
                <w:szCs w:val="26"/>
                <w:lang w:val="en-US"/>
              </w:rPr>
            </w:pPr>
            <w:r>
              <w:rPr>
                <w:rFonts w:cstheme="majorHAnsi"/>
                <w:szCs w:val="26"/>
                <w:lang w:val="en-US"/>
              </w:rPr>
              <w:t>Tỷ lệ</w:t>
            </w:r>
            <w:r>
              <w:t xml:space="preserve"> </w:t>
            </w:r>
            <w:r w:rsidRPr="006D4E4C">
              <w:rPr>
                <w:rFonts w:cstheme="majorHAnsi"/>
                <w:szCs w:val="26"/>
                <w:lang w:val="en-US"/>
              </w:rPr>
              <w:t>lợi nhuận trên tài sản</w:t>
            </w:r>
            <w:r w:rsidR="00B576AF">
              <w:rPr>
                <w:rFonts w:cstheme="majorHAnsi"/>
                <w:szCs w:val="26"/>
                <w:lang w:val="en-US"/>
              </w:rPr>
              <w:t xml:space="preserve"> </w:t>
            </w:r>
            <w:r w:rsidR="00B576AF" w:rsidRPr="00341848">
              <w:rPr>
                <w:rFonts w:cstheme="majorHAnsi"/>
                <w:szCs w:val="26"/>
                <w:lang w:val="pt-BR"/>
              </w:rPr>
              <w:t>có</w:t>
            </w:r>
            <w:r w:rsidR="00B576AF">
              <w:rPr>
                <w:rFonts w:cstheme="majorHAnsi"/>
                <w:szCs w:val="26"/>
                <w:lang w:val="pt-BR"/>
              </w:rPr>
              <w:t xml:space="preserve"> mối tương quan </w:t>
            </w:r>
            <w:r w:rsidR="00C55E20">
              <w:rPr>
                <w:rFonts w:cstheme="majorHAnsi"/>
                <w:szCs w:val="26"/>
                <w:lang w:val="pt-BR"/>
              </w:rPr>
              <w:t>thuận</w:t>
            </w:r>
            <w:r w:rsidR="00B576AF">
              <w:rPr>
                <w:rFonts w:cstheme="majorHAnsi"/>
                <w:szCs w:val="26"/>
                <w:lang w:val="pt-BR"/>
              </w:rPr>
              <w:t xml:space="preserve"> đối với </w:t>
            </w:r>
            <w:r w:rsidR="0057720C">
              <w:rPr>
                <w:rFonts w:cstheme="majorHAnsi"/>
                <w:szCs w:val="26"/>
                <w:lang w:val="en-US"/>
              </w:rPr>
              <w:t>chất lượng báo cáo tài chính</w:t>
            </w:r>
          </w:p>
        </w:tc>
        <w:tc>
          <w:tcPr>
            <w:tcW w:w="1855" w:type="pct"/>
            <w:vAlign w:val="center"/>
          </w:tcPr>
          <w:p w14:paraId="782E51E1" w14:textId="3298F961" w:rsidR="00B576AF" w:rsidRPr="00341848" w:rsidRDefault="00EC54EA" w:rsidP="006541FC">
            <w:pPr>
              <w:pStyle w:val="ListParagraph"/>
              <w:numPr>
                <w:ilvl w:val="0"/>
                <w:numId w:val="2"/>
              </w:numPr>
              <w:spacing w:line="360" w:lineRule="auto"/>
              <w:ind w:left="175" w:hanging="175"/>
              <w:rPr>
                <w:rFonts w:cstheme="majorHAnsi"/>
                <w:szCs w:val="26"/>
                <w:lang w:val="en-US"/>
              </w:rPr>
            </w:pPr>
            <w:r w:rsidRPr="00341848">
              <w:rPr>
                <w:rFonts w:cstheme="majorHAnsi"/>
                <w:szCs w:val="26"/>
                <w:lang w:val="en-US"/>
              </w:rPr>
              <w:t xml:space="preserve">Lý thuyết </w:t>
            </w:r>
            <w:r>
              <w:rPr>
                <w:rFonts w:cstheme="majorHAnsi"/>
                <w:szCs w:val="26"/>
                <w:lang w:val="en-US"/>
              </w:rPr>
              <w:t>ủy nhiệm</w:t>
            </w:r>
          </w:p>
        </w:tc>
        <w:tc>
          <w:tcPr>
            <w:tcW w:w="645" w:type="pct"/>
            <w:vAlign w:val="center"/>
          </w:tcPr>
          <w:p w14:paraId="24081AFA" w14:textId="6874DB8E" w:rsidR="00B576AF" w:rsidRPr="00341848" w:rsidRDefault="00C55E20" w:rsidP="006541FC">
            <w:pPr>
              <w:spacing w:line="360" w:lineRule="auto"/>
              <w:jc w:val="center"/>
              <w:rPr>
                <w:rFonts w:cstheme="majorHAnsi"/>
                <w:b/>
                <w:szCs w:val="26"/>
                <w:lang w:val="en-US"/>
              </w:rPr>
            </w:pPr>
            <w:r>
              <w:rPr>
                <w:rFonts w:cstheme="majorHAnsi"/>
                <w:b/>
                <w:szCs w:val="26"/>
                <w:lang w:val="en-US"/>
              </w:rPr>
              <w:t>+</w:t>
            </w:r>
          </w:p>
        </w:tc>
      </w:tr>
      <w:tr w:rsidR="00B576AF" w:rsidRPr="00341848" w14:paraId="05C6304D" w14:textId="77777777" w:rsidTr="00B576AF">
        <w:trPr>
          <w:trHeight w:val="512"/>
        </w:trPr>
        <w:tc>
          <w:tcPr>
            <w:tcW w:w="483" w:type="pct"/>
            <w:vAlign w:val="center"/>
          </w:tcPr>
          <w:p w14:paraId="2ADC250D" w14:textId="122AD2EE" w:rsidR="00B576AF" w:rsidRPr="00341848" w:rsidRDefault="00B576AF" w:rsidP="006541FC">
            <w:pPr>
              <w:spacing w:line="360" w:lineRule="auto"/>
              <w:jc w:val="center"/>
              <w:rPr>
                <w:rFonts w:cstheme="majorHAnsi"/>
                <w:b/>
                <w:szCs w:val="26"/>
                <w:lang w:val="en-US"/>
              </w:rPr>
            </w:pPr>
            <w:r>
              <w:rPr>
                <w:rFonts w:cstheme="majorHAnsi"/>
                <w:b/>
                <w:szCs w:val="26"/>
                <w:lang w:val="en-US"/>
              </w:rPr>
              <w:t>H5</w:t>
            </w:r>
          </w:p>
        </w:tc>
        <w:tc>
          <w:tcPr>
            <w:tcW w:w="2017" w:type="pct"/>
            <w:vAlign w:val="center"/>
          </w:tcPr>
          <w:p w14:paraId="5A863DDC" w14:textId="5C06BED8" w:rsidR="00B576AF" w:rsidRPr="00341848" w:rsidRDefault="006D4E4C" w:rsidP="006541FC">
            <w:pPr>
              <w:spacing w:line="360" w:lineRule="auto"/>
              <w:rPr>
                <w:rFonts w:cstheme="majorHAnsi"/>
                <w:szCs w:val="26"/>
                <w:lang w:val="en-US"/>
              </w:rPr>
            </w:pPr>
            <w:r>
              <w:rPr>
                <w:rFonts w:cstheme="majorHAnsi"/>
                <w:szCs w:val="26"/>
                <w:lang w:val="en-US"/>
              </w:rPr>
              <w:t>Quy mô doanh nghiệp</w:t>
            </w:r>
            <w:r w:rsidR="00B576AF">
              <w:rPr>
                <w:rFonts w:cstheme="majorHAnsi"/>
                <w:szCs w:val="26"/>
                <w:lang w:val="en-US"/>
              </w:rPr>
              <w:t xml:space="preserve"> </w:t>
            </w:r>
            <w:r w:rsidR="00B576AF" w:rsidRPr="00341848">
              <w:rPr>
                <w:rFonts w:cstheme="majorHAnsi"/>
                <w:szCs w:val="26"/>
                <w:lang w:val="pt-BR"/>
              </w:rPr>
              <w:t>có</w:t>
            </w:r>
            <w:r w:rsidR="00B576AF">
              <w:rPr>
                <w:rFonts w:cstheme="majorHAnsi"/>
                <w:szCs w:val="26"/>
                <w:lang w:val="pt-BR"/>
              </w:rPr>
              <w:t xml:space="preserve"> mối tương quan</w:t>
            </w:r>
            <w:r w:rsidR="00B576AF" w:rsidRPr="00341848">
              <w:rPr>
                <w:rFonts w:cstheme="majorHAnsi"/>
                <w:szCs w:val="26"/>
                <w:lang w:val="pt-BR"/>
              </w:rPr>
              <w:t xml:space="preserve"> thuậ</w:t>
            </w:r>
            <w:r w:rsidR="00B576AF">
              <w:rPr>
                <w:rFonts w:cstheme="majorHAnsi"/>
                <w:szCs w:val="26"/>
                <w:lang w:val="pt-BR"/>
              </w:rPr>
              <w:t xml:space="preserve">n đối với </w:t>
            </w:r>
            <w:r w:rsidR="0057720C">
              <w:rPr>
                <w:rFonts w:cstheme="majorHAnsi"/>
                <w:szCs w:val="26"/>
                <w:lang w:val="en-US"/>
              </w:rPr>
              <w:t>chất lượng báo cáo tài chính</w:t>
            </w:r>
          </w:p>
        </w:tc>
        <w:tc>
          <w:tcPr>
            <w:tcW w:w="1855" w:type="pct"/>
            <w:vAlign w:val="center"/>
          </w:tcPr>
          <w:p w14:paraId="6B000E77" w14:textId="733E249C" w:rsidR="00B576AF" w:rsidRPr="00341848" w:rsidRDefault="00EC54EA" w:rsidP="006541FC">
            <w:pPr>
              <w:pStyle w:val="ListParagraph"/>
              <w:numPr>
                <w:ilvl w:val="0"/>
                <w:numId w:val="2"/>
              </w:numPr>
              <w:spacing w:line="360" w:lineRule="auto"/>
              <w:ind w:left="175" w:hanging="175"/>
              <w:rPr>
                <w:rFonts w:cstheme="majorHAnsi"/>
                <w:szCs w:val="26"/>
                <w:lang w:val="en-US"/>
              </w:rPr>
            </w:pPr>
            <w:r w:rsidRPr="00341848">
              <w:rPr>
                <w:rFonts w:cstheme="majorHAnsi"/>
                <w:szCs w:val="26"/>
                <w:lang w:val="en-US"/>
              </w:rPr>
              <w:t xml:space="preserve">Lý thuyết </w:t>
            </w:r>
            <w:r>
              <w:rPr>
                <w:rFonts w:cstheme="majorHAnsi"/>
                <w:szCs w:val="26"/>
                <w:lang w:val="en-US"/>
              </w:rPr>
              <w:t>ủy nhiệm</w:t>
            </w:r>
          </w:p>
        </w:tc>
        <w:tc>
          <w:tcPr>
            <w:tcW w:w="645" w:type="pct"/>
            <w:vAlign w:val="center"/>
          </w:tcPr>
          <w:p w14:paraId="7C37DA7F" w14:textId="0C181FE2" w:rsidR="00B576AF" w:rsidRPr="00341848" w:rsidRDefault="00B576AF" w:rsidP="006541FC">
            <w:pPr>
              <w:spacing w:line="360" w:lineRule="auto"/>
              <w:jc w:val="center"/>
              <w:rPr>
                <w:rFonts w:cstheme="majorHAnsi"/>
                <w:b/>
                <w:szCs w:val="26"/>
                <w:lang w:val="en-US"/>
              </w:rPr>
            </w:pPr>
            <w:r>
              <w:rPr>
                <w:rFonts w:cstheme="majorHAnsi"/>
                <w:b/>
                <w:szCs w:val="26"/>
                <w:lang w:val="en-US"/>
              </w:rPr>
              <w:t>+</w:t>
            </w:r>
          </w:p>
        </w:tc>
      </w:tr>
      <w:tr w:rsidR="00B576AF" w:rsidRPr="00341848" w14:paraId="27D95740" w14:textId="77777777" w:rsidTr="006541FC">
        <w:tc>
          <w:tcPr>
            <w:tcW w:w="483" w:type="pct"/>
            <w:vAlign w:val="center"/>
          </w:tcPr>
          <w:p w14:paraId="27F3AD75" w14:textId="0FEA9F2C" w:rsidR="00B576AF" w:rsidRPr="00341848" w:rsidRDefault="00B576AF" w:rsidP="006541FC">
            <w:pPr>
              <w:spacing w:line="360" w:lineRule="auto"/>
              <w:jc w:val="center"/>
              <w:rPr>
                <w:rFonts w:cstheme="majorHAnsi"/>
                <w:b/>
                <w:szCs w:val="26"/>
                <w:lang w:val="en-US"/>
              </w:rPr>
            </w:pPr>
            <w:r>
              <w:rPr>
                <w:rFonts w:cstheme="majorHAnsi"/>
                <w:b/>
                <w:szCs w:val="26"/>
                <w:lang w:val="en-US"/>
              </w:rPr>
              <w:t>H6</w:t>
            </w:r>
          </w:p>
        </w:tc>
        <w:tc>
          <w:tcPr>
            <w:tcW w:w="2017" w:type="pct"/>
            <w:vAlign w:val="center"/>
          </w:tcPr>
          <w:p w14:paraId="4A5218F3" w14:textId="79FFC25A" w:rsidR="00B576AF" w:rsidRPr="00341848" w:rsidRDefault="006D4E4C" w:rsidP="00C55E20">
            <w:pPr>
              <w:spacing w:line="360" w:lineRule="auto"/>
              <w:rPr>
                <w:rFonts w:cstheme="majorHAnsi"/>
                <w:szCs w:val="26"/>
                <w:lang w:val="en-US"/>
              </w:rPr>
            </w:pPr>
            <w:r>
              <w:rPr>
                <w:rFonts w:cstheme="majorHAnsi"/>
                <w:szCs w:val="26"/>
                <w:lang w:val="pt-BR"/>
              </w:rPr>
              <w:t xml:space="preserve">Vốn lưu động </w:t>
            </w:r>
            <w:r w:rsidR="00B576AF" w:rsidRPr="00341848">
              <w:rPr>
                <w:rFonts w:cstheme="majorHAnsi"/>
                <w:szCs w:val="26"/>
                <w:lang w:val="pt-BR"/>
              </w:rPr>
              <w:t>có</w:t>
            </w:r>
            <w:r w:rsidR="00B576AF">
              <w:rPr>
                <w:rFonts w:cstheme="majorHAnsi"/>
                <w:szCs w:val="26"/>
                <w:lang w:val="pt-BR"/>
              </w:rPr>
              <w:t xml:space="preserve"> mối tương quan</w:t>
            </w:r>
            <w:r w:rsidR="00C55E20">
              <w:rPr>
                <w:rFonts w:cstheme="majorHAnsi"/>
                <w:szCs w:val="26"/>
                <w:lang w:val="pt-BR"/>
              </w:rPr>
              <w:t xml:space="preserve"> nghịch</w:t>
            </w:r>
            <w:r w:rsidR="00B576AF">
              <w:rPr>
                <w:rFonts w:cstheme="majorHAnsi"/>
                <w:szCs w:val="26"/>
                <w:lang w:val="pt-BR"/>
              </w:rPr>
              <w:t xml:space="preserve"> đối với </w:t>
            </w:r>
            <w:r w:rsidR="0057720C">
              <w:rPr>
                <w:rFonts w:cstheme="majorHAnsi"/>
                <w:szCs w:val="26"/>
                <w:lang w:val="en-US"/>
              </w:rPr>
              <w:t>chất lượng báo cáo tài chính</w:t>
            </w:r>
          </w:p>
        </w:tc>
        <w:tc>
          <w:tcPr>
            <w:tcW w:w="1855" w:type="pct"/>
            <w:vAlign w:val="center"/>
          </w:tcPr>
          <w:p w14:paraId="4A940C00" w14:textId="15E108AD" w:rsidR="00B576AF" w:rsidRPr="00341848" w:rsidRDefault="00EC54EA" w:rsidP="006541FC">
            <w:pPr>
              <w:pStyle w:val="ListParagraph"/>
              <w:numPr>
                <w:ilvl w:val="0"/>
                <w:numId w:val="2"/>
              </w:numPr>
              <w:spacing w:line="360" w:lineRule="auto"/>
              <w:ind w:left="175" w:hanging="175"/>
              <w:rPr>
                <w:rFonts w:cstheme="majorHAnsi"/>
                <w:szCs w:val="26"/>
                <w:lang w:val="en-US"/>
              </w:rPr>
            </w:pPr>
            <w:r w:rsidRPr="00341848">
              <w:rPr>
                <w:rFonts w:cstheme="majorHAnsi"/>
                <w:szCs w:val="26"/>
                <w:lang w:val="en-US"/>
              </w:rPr>
              <w:t xml:space="preserve">Lý thuyết </w:t>
            </w:r>
            <w:r>
              <w:rPr>
                <w:rFonts w:cstheme="majorHAnsi"/>
                <w:szCs w:val="26"/>
                <w:lang w:val="en-US"/>
              </w:rPr>
              <w:t>ủy nhiệm</w:t>
            </w:r>
          </w:p>
        </w:tc>
        <w:tc>
          <w:tcPr>
            <w:tcW w:w="645" w:type="pct"/>
            <w:vAlign w:val="center"/>
          </w:tcPr>
          <w:p w14:paraId="2C9D4128" w14:textId="3842E538" w:rsidR="00B576AF" w:rsidRPr="00341848" w:rsidRDefault="00C55E20" w:rsidP="006541FC">
            <w:pPr>
              <w:spacing w:line="360" w:lineRule="auto"/>
              <w:jc w:val="center"/>
              <w:rPr>
                <w:rFonts w:cstheme="majorHAnsi"/>
                <w:b/>
                <w:szCs w:val="26"/>
                <w:lang w:val="en-US"/>
              </w:rPr>
            </w:pPr>
            <w:r>
              <w:rPr>
                <w:rFonts w:cstheme="majorHAnsi"/>
                <w:b/>
                <w:szCs w:val="26"/>
                <w:lang w:val="en-US"/>
              </w:rPr>
              <w:t>-</w:t>
            </w:r>
          </w:p>
        </w:tc>
      </w:tr>
    </w:tbl>
    <w:p w14:paraId="51614151" w14:textId="77777777" w:rsidR="00BE158C" w:rsidRDefault="00BE158C" w:rsidP="00361353">
      <w:pPr>
        <w:spacing w:after="0" w:line="360" w:lineRule="auto"/>
        <w:rPr>
          <w:rFonts w:cstheme="majorHAnsi"/>
          <w:szCs w:val="26"/>
          <w:lang w:val="tr-TR"/>
        </w:rPr>
      </w:pPr>
    </w:p>
    <w:p w14:paraId="7C55E88A" w14:textId="0BCE6AB7" w:rsidR="004F7ABA" w:rsidRPr="00341848" w:rsidRDefault="00210D32" w:rsidP="00361353">
      <w:pPr>
        <w:pStyle w:val="ListParagraph"/>
        <w:numPr>
          <w:ilvl w:val="0"/>
          <w:numId w:val="1"/>
        </w:numPr>
        <w:spacing w:after="0" w:line="360" w:lineRule="auto"/>
        <w:ind w:left="0" w:firstLine="0"/>
        <w:rPr>
          <w:rFonts w:cstheme="majorHAnsi"/>
          <w:b/>
          <w:szCs w:val="26"/>
        </w:rPr>
      </w:pPr>
      <w:r w:rsidRPr="00341848">
        <w:rPr>
          <w:rFonts w:cstheme="majorHAnsi"/>
          <w:b/>
          <w:szCs w:val="26"/>
          <w:lang w:val="en-US"/>
        </w:rPr>
        <w:t>Dữ liệu, p</w:t>
      </w:r>
      <w:r w:rsidR="002F3101" w:rsidRPr="00341848">
        <w:rPr>
          <w:rFonts w:cstheme="majorHAnsi"/>
          <w:b/>
          <w:szCs w:val="26"/>
          <w:lang w:val="en-US"/>
        </w:rPr>
        <w:t>hương pháp</w:t>
      </w:r>
      <w:r w:rsidR="00DB1934">
        <w:rPr>
          <w:rFonts w:cstheme="majorHAnsi"/>
          <w:b/>
          <w:szCs w:val="26"/>
          <w:lang w:val="en-US"/>
        </w:rPr>
        <w:t xml:space="preserve"> nghiên cứu</w:t>
      </w:r>
      <w:r w:rsidRPr="00341848">
        <w:rPr>
          <w:rFonts w:cstheme="majorHAnsi"/>
          <w:b/>
          <w:szCs w:val="26"/>
          <w:lang w:val="en-US"/>
        </w:rPr>
        <w:t xml:space="preserve"> </w:t>
      </w:r>
    </w:p>
    <w:p w14:paraId="06C6E2C8" w14:textId="77777777" w:rsidR="004F7ABA" w:rsidRPr="00341848" w:rsidRDefault="004F7ABA" w:rsidP="00361353">
      <w:pPr>
        <w:pStyle w:val="ListParagraph"/>
        <w:numPr>
          <w:ilvl w:val="1"/>
          <w:numId w:val="1"/>
        </w:numPr>
        <w:spacing w:after="0" w:line="360" w:lineRule="auto"/>
        <w:ind w:left="0" w:firstLine="0"/>
        <w:rPr>
          <w:rFonts w:cstheme="majorHAnsi"/>
          <w:b/>
          <w:szCs w:val="26"/>
        </w:rPr>
      </w:pPr>
      <w:r w:rsidRPr="00341848">
        <w:rPr>
          <w:rFonts w:cstheme="majorHAnsi"/>
          <w:b/>
          <w:szCs w:val="26"/>
          <w:lang w:val="en-US"/>
        </w:rPr>
        <w:t>Phương pháp nghiên cứu</w:t>
      </w:r>
    </w:p>
    <w:p w14:paraId="16F6D4D2" w14:textId="50D7B00A" w:rsidR="00E815F0" w:rsidRPr="00341848" w:rsidRDefault="001214D4" w:rsidP="00361353">
      <w:pPr>
        <w:spacing w:after="0" w:line="360" w:lineRule="auto"/>
        <w:rPr>
          <w:rFonts w:cstheme="majorHAnsi"/>
          <w:szCs w:val="26"/>
          <w:lang w:val="en-US"/>
        </w:rPr>
      </w:pPr>
      <w:r w:rsidRPr="00341848">
        <w:rPr>
          <w:rFonts w:cstheme="majorHAnsi"/>
          <w:szCs w:val="26"/>
        </w:rPr>
        <w:t>Các nghiên cứ</w:t>
      </w:r>
      <w:r w:rsidR="00B47472" w:rsidRPr="00341848">
        <w:rPr>
          <w:rFonts w:cstheme="majorHAnsi"/>
          <w:szCs w:val="26"/>
        </w:rPr>
        <w:t xml:space="preserve">u trước đây trên thế giới </w:t>
      </w:r>
      <w:r w:rsidR="00E815F0" w:rsidRPr="00341848">
        <w:rPr>
          <w:rFonts w:cstheme="majorHAnsi"/>
          <w:szCs w:val="26"/>
        </w:rPr>
        <w:t>sử dụng phương pháp định lượng</w:t>
      </w:r>
      <w:r w:rsidR="00CA37DA" w:rsidRPr="00341848">
        <w:rPr>
          <w:rFonts w:cstheme="majorHAnsi"/>
          <w:szCs w:val="26"/>
          <w:lang w:val="en-US"/>
        </w:rPr>
        <w:t>,</w:t>
      </w:r>
      <w:r w:rsidR="00E815F0" w:rsidRPr="00341848">
        <w:rPr>
          <w:rFonts w:cstheme="majorHAnsi"/>
          <w:szCs w:val="26"/>
        </w:rPr>
        <w:t xml:space="preserve"> </w:t>
      </w:r>
      <w:r w:rsidR="00E2446D" w:rsidRPr="00341848">
        <w:rPr>
          <w:rFonts w:cstheme="majorHAnsi"/>
          <w:szCs w:val="26"/>
        </w:rPr>
        <w:t xml:space="preserve">cụ thể là phân tích hồi quy tuyến tính </w:t>
      </w:r>
      <w:r w:rsidR="001F535C" w:rsidRPr="00341848">
        <w:rPr>
          <w:rFonts w:cstheme="majorHAnsi"/>
          <w:szCs w:val="26"/>
          <w:lang w:val="en-US"/>
        </w:rPr>
        <w:t xml:space="preserve">phù hợp </w:t>
      </w:r>
      <w:r w:rsidR="00CA37DA" w:rsidRPr="00341848">
        <w:rPr>
          <w:rFonts w:cstheme="majorHAnsi"/>
          <w:szCs w:val="26"/>
          <w:lang w:val="en-US"/>
        </w:rPr>
        <w:t xml:space="preserve">với </w:t>
      </w:r>
      <w:r w:rsidR="00E2446D" w:rsidRPr="00341848">
        <w:rPr>
          <w:rFonts w:cstheme="majorHAnsi"/>
          <w:szCs w:val="26"/>
        </w:rPr>
        <w:t xml:space="preserve">dữ liệu bảng </w:t>
      </w:r>
      <w:r w:rsidR="00E815F0" w:rsidRPr="00341848">
        <w:rPr>
          <w:rFonts w:cstheme="majorHAnsi"/>
          <w:szCs w:val="26"/>
        </w:rPr>
        <w:t>để đo lườ</w:t>
      </w:r>
      <w:r w:rsidR="00E2446D" w:rsidRPr="00341848">
        <w:rPr>
          <w:rFonts w:cstheme="majorHAnsi"/>
          <w:szCs w:val="26"/>
        </w:rPr>
        <w:t xml:space="preserve">ng ảnh hưởng </w:t>
      </w:r>
      <w:r w:rsidR="00CA37DA" w:rsidRPr="00341848">
        <w:rPr>
          <w:rFonts w:cstheme="majorHAnsi"/>
          <w:szCs w:val="26"/>
          <w:lang w:val="en-US"/>
        </w:rPr>
        <w:t xml:space="preserve">của </w:t>
      </w:r>
      <w:r w:rsidR="00DB1934">
        <w:rPr>
          <w:rFonts w:cstheme="majorHAnsi"/>
          <w:szCs w:val="26"/>
          <w:lang w:val="en-US"/>
        </w:rPr>
        <w:t>KNHĐLT</w:t>
      </w:r>
      <w:r w:rsidR="00CA37DA" w:rsidRPr="00341848">
        <w:rPr>
          <w:rFonts w:cstheme="majorHAnsi"/>
          <w:szCs w:val="26"/>
          <w:lang w:val="en-US"/>
        </w:rPr>
        <w:t xml:space="preserve"> đến </w:t>
      </w:r>
      <w:r w:rsidR="006623D8">
        <w:rPr>
          <w:rFonts w:cstheme="majorHAnsi"/>
          <w:szCs w:val="26"/>
          <w:lang w:val="en-US"/>
        </w:rPr>
        <w:t>chất lượng báo cáo tài chính</w:t>
      </w:r>
      <w:r w:rsidRPr="00341848">
        <w:rPr>
          <w:rFonts w:cstheme="majorHAnsi"/>
          <w:szCs w:val="26"/>
        </w:rPr>
        <w:t xml:space="preserve">. </w:t>
      </w:r>
      <w:r w:rsidR="00CA37DA" w:rsidRPr="00341848">
        <w:rPr>
          <w:rFonts w:cstheme="majorHAnsi"/>
          <w:szCs w:val="26"/>
          <w:lang w:val="en-US"/>
        </w:rPr>
        <w:t>Trong nghiên cứu này</w:t>
      </w:r>
      <w:r w:rsidRPr="00341848">
        <w:rPr>
          <w:rFonts w:cstheme="majorHAnsi"/>
          <w:szCs w:val="26"/>
        </w:rPr>
        <w:t xml:space="preserve">, tác giả cũng sử dụng phương pháp này để đo lường ảnh hưởng </w:t>
      </w:r>
      <w:r w:rsidR="00DB1934">
        <w:rPr>
          <w:rFonts w:cstheme="majorHAnsi"/>
          <w:szCs w:val="26"/>
          <w:lang w:val="en-US"/>
        </w:rPr>
        <w:t>KNHĐLT</w:t>
      </w:r>
      <w:r w:rsidR="00DB1934" w:rsidRPr="00341848">
        <w:rPr>
          <w:rFonts w:cstheme="majorHAnsi"/>
          <w:szCs w:val="26"/>
          <w:lang w:val="en-US"/>
        </w:rPr>
        <w:t xml:space="preserve"> đến </w:t>
      </w:r>
      <w:r w:rsidR="006867DA">
        <w:rPr>
          <w:rFonts w:cstheme="majorHAnsi"/>
          <w:szCs w:val="26"/>
          <w:lang w:val="en-US"/>
        </w:rPr>
        <w:t>chất lượng báo cáo tài chính</w:t>
      </w:r>
      <w:r w:rsidR="006867DA" w:rsidRPr="00341848">
        <w:rPr>
          <w:rFonts w:cstheme="majorHAnsi"/>
          <w:szCs w:val="26"/>
        </w:rPr>
        <w:t xml:space="preserve"> </w:t>
      </w:r>
      <w:r w:rsidRPr="00341848">
        <w:rPr>
          <w:rFonts w:cstheme="majorHAnsi"/>
          <w:szCs w:val="26"/>
        </w:rPr>
        <w:t xml:space="preserve">trên </w:t>
      </w:r>
      <w:r w:rsidR="00C456D6" w:rsidRPr="00341848">
        <w:rPr>
          <w:rFonts w:cstheme="majorHAnsi"/>
          <w:szCs w:val="26"/>
          <w:lang w:val="en-US"/>
        </w:rPr>
        <w:t>thị trường chứng khoán</w:t>
      </w:r>
      <w:r w:rsidRPr="00341848">
        <w:rPr>
          <w:rFonts w:cstheme="majorHAnsi"/>
          <w:szCs w:val="26"/>
        </w:rPr>
        <w:t xml:space="preserve"> Việt Nam.</w:t>
      </w:r>
      <w:r w:rsidR="001F535C" w:rsidRPr="00341848">
        <w:rPr>
          <w:rFonts w:cstheme="majorHAnsi"/>
          <w:szCs w:val="26"/>
          <w:lang w:val="en-US"/>
        </w:rPr>
        <w:t xml:space="preserve"> Cụ thể, tác giả sử dụng mô hình tác động cố định (FEM), mô hình tác động ngẫu nhiên (REM) để thực hiện nghiên cứu.</w:t>
      </w:r>
    </w:p>
    <w:p w14:paraId="164F3EAE" w14:textId="77777777" w:rsidR="00150AC5" w:rsidRPr="00341848" w:rsidRDefault="00574FA6" w:rsidP="00361353">
      <w:pPr>
        <w:pStyle w:val="ListParagraph"/>
        <w:numPr>
          <w:ilvl w:val="1"/>
          <w:numId w:val="1"/>
        </w:numPr>
        <w:spacing w:after="0" w:line="360" w:lineRule="auto"/>
        <w:ind w:left="0" w:firstLine="0"/>
        <w:rPr>
          <w:rFonts w:cstheme="majorHAnsi"/>
          <w:b/>
          <w:szCs w:val="26"/>
        </w:rPr>
      </w:pPr>
      <w:r w:rsidRPr="00341848">
        <w:rPr>
          <w:rFonts w:cstheme="majorHAnsi"/>
          <w:b/>
          <w:szCs w:val="26"/>
          <w:lang w:val="en-US"/>
        </w:rPr>
        <w:t>Dữ liệu</w:t>
      </w:r>
    </w:p>
    <w:p w14:paraId="79244A23" w14:textId="2226E8DE" w:rsidR="0066066F" w:rsidRPr="00341848" w:rsidRDefault="00150AC5" w:rsidP="00361353">
      <w:pPr>
        <w:spacing w:after="0" w:line="360" w:lineRule="auto"/>
        <w:rPr>
          <w:rFonts w:cstheme="majorHAnsi"/>
          <w:szCs w:val="26"/>
          <w:lang w:val="en-US"/>
        </w:rPr>
      </w:pPr>
      <w:r w:rsidRPr="00341848">
        <w:rPr>
          <w:rFonts w:cstheme="majorHAnsi"/>
          <w:szCs w:val="26"/>
        </w:rPr>
        <w:t xml:space="preserve">Mẫu </w:t>
      </w:r>
      <w:r w:rsidR="003867BC">
        <w:rPr>
          <w:rFonts w:cstheme="majorHAnsi"/>
          <w:szCs w:val="26"/>
          <w:lang w:val="en-US"/>
        </w:rPr>
        <w:t>nghiên cứu</w:t>
      </w:r>
      <w:r w:rsidR="00CA37DA" w:rsidRPr="00341848">
        <w:rPr>
          <w:rFonts w:cstheme="majorHAnsi"/>
          <w:szCs w:val="26"/>
        </w:rPr>
        <w:t xml:space="preserve"> là</w:t>
      </w:r>
      <w:r w:rsidRPr="00341848">
        <w:rPr>
          <w:rFonts w:cstheme="majorHAnsi"/>
          <w:szCs w:val="26"/>
        </w:rPr>
        <w:t xml:space="preserve"> </w:t>
      </w:r>
      <w:r w:rsidR="003867BC">
        <w:rPr>
          <w:rFonts w:cstheme="majorHAnsi"/>
          <w:szCs w:val="26"/>
          <w:lang w:val="en-US"/>
        </w:rPr>
        <w:t xml:space="preserve">tất cả 279 </w:t>
      </w:r>
      <w:r w:rsidRPr="00341848">
        <w:rPr>
          <w:rFonts w:cstheme="majorHAnsi"/>
          <w:szCs w:val="26"/>
        </w:rPr>
        <w:t>công ty niêm yết</w:t>
      </w:r>
      <w:r w:rsidR="003867BC">
        <w:rPr>
          <w:rFonts w:cstheme="majorHAnsi"/>
          <w:szCs w:val="26"/>
          <w:lang w:val="en-US"/>
        </w:rPr>
        <w:t xml:space="preserve"> từ năm 2009</w:t>
      </w:r>
      <w:r w:rsidRPr="00341848">
        <w:rPr>
          <w:rFonts w:cstheme="majorHAnsi"/>
          <w:szCs w:val="26"/>
        </w:rPr>
        <w:t xml:space="preserve"> trên thị trường chứng khoán Việt Nam trong giai đoạ</w:t>
      </w:r>
      <w:r w:rsidR="00026F07">
        <w:rPr>
          <w:rFonts w:cstheme="majorHAnsi"/>
          <w:szCs w:val="26"/>
        </w:rPr>
        <w:t>n 2009</w:t>
      </w:r>
      <w:r w:rsidR="00210FF3" w:rsidRPr="00341848">
        <w:rPr>
          <w:rFonts w:cstheme="majorHAnsi"/>
          <w:szCs w:val="26"/>
          <w:lang w:val="en-US"/>
        </w:rPr>
        <w:t>-</w:t>
      </w:r>
      <w:r w:rsidRPr="00341848">
        <w:rPr>
          <w:rFonts w:cstheme="majorHAnsi"/>
          <w:szCs w:val="26"/>
        </w:rPr>
        <w:t>201</w:t>
      </w:r>
      <w:r w:rsidR="003867BC">
        <w:rPr>
          <w:rFonts w:cstheme="majorHAnsi"/>
          <w:szCs w:val="26"/>
          <w:lang w:val="en-US"/>
        </w:rPr>
        <w:t>5</w:t>
      </w:r>
      <w:r w:rsidR="00BE06A3" w:rsidRPr="00BE06A3">
        <w:t xml:space="preserve"> </w:t>
      </w:r>
      <w:r w:rsidR="00BE06A3" w:rsidRPr="00BE06A3">
        <w:rPr>
          <w:rFonts w:cstheme="majorHAnsi"/>
          <w:szCs w:val="26"/>
          <w:lang w:val="en-US"/>
        </w:rPr>
        <w:t>với 1953 quan sát</w:t>
      </w:r>
      <w:r w:rsidR="003867BC">
        <w:rPr>
          <w:rFonts w:cstheme="majorHAnsi"/>
          <w:szCs w:val="26"/>
          <w:lang w:val="en-US"/>
        </w:rPr>
        <w:t>, loại trừ công ty tài chính, đầu tư, ngân hàng</w:t>
      </w:r>
      <w:r w:rsidR="00497FDD" w:rsidRPr="00341848">
        <w:rPr>
          <w:rFonts w:cstheme="majorHAnsi"/>
          <w:szCs w:val="26"/>
          <w:lang w:val="en-US"/>
        </w:rPr>
        <w:t xml:space="preserve">. </w:t>
      </w:r>
      <w:r w:rsidR="007807BF">
        <w:rPr>
          <w:rFonts w:cstheme="majorHAnsi"/>
          <w:szCs w:val="26"/>
          <w:lang w:val="en-US"/>
        </w:rPr>
        <w:t>N</w:t>
      </w:r>
      <w:r w:rsidR="007807BF" w:rsidRPr="007807BF">
        <w:rPr>
          <w:rFonts w:cstheme="majorHAnsi"/>
          <w:szCs w:val="26"/>
          <w:lang w:val="en-US"/>
        </w:rPr>
        <w:t xml:space="preserve">guồn dữ liệu Datastream của Thomson Reuters, được truy cập từ Trung Tâm Nghiên cứu Kinh tế Tài chính của Trường Đại học Kinh tế - Luật và báo cáo tài chính đã </w:t>
      </w:r>
      <w:r w:rsidR="007807BF" w:rsidRPr="007807BF">
        <w:rPr>
          <w:rFonts w:cstheme="majorHAnsi"/>
          <w:szCs w:val="26"/>
          <w:lang w:val="en-US"/>
        </w:rPr>
        <w:lastRenderedPageBreak/>
        <w:t>kiểm toán được công bố</w:t>
      </w:r>
      <w:r w:rsidR="007514DC">
        <w:rPr>
          <w:rFonts w:cstheme="majorHAnsi"/>
          <w:szCs w:val="26"/>
          <w:lang w:val="en-US"/>
        </w:rPr>
        <w:t xml:space="preserve"> </w:t>
      </w:r>
      <w:r w:rsidR="007807BF" w:rsidRPr="007807BF">
        <w:rPr>
          <w:rFonts w:cstheme="majorHAnsi"/>
          <w:szCs w:val="26"/>
          <w:lang w:val="en-US"/>
        </w:rPr>
        <w:t xml:space="preserve">công khai của các công ty niêm yết. </w:t>
      </w:r>
      <w:r w:rsidR="00962C62" w:rsidRPr="00341848">
        <w:rPr>
          <w:rFonts w:cstheme="majorHAnsi"/>
          <w:szCs w:val="26"/>
          <w:lang w:val="en-US"/>
        </w:rPr>
        <w:t>Sau các bước thực hiện</w:t>
      </w:r>
      <w:r w:rsidR="003867BC">
        <w:rPr>
          <w:rFonts w:cstheme="majorHAnsi"/>
          <w:szCs w:val="26"/>
          <w:lang w:val="en-US"/>
        </w:rPr>
        <w:t xml:space="preserve"> thu thập dữ liệu</w:t>
      </w:r>
      <w:r w:rsidR="00962C62" w:rsidRPr="00341848">
        <w:rPr>
          <w:rFonts w:cstheme="majorHAnsi"/>
          <w:szCs w:val="26"/>
          <w:lang w:val="en-US"/>
        </w:rPr>
        <w:t xml:space="preserve">, kết quả có </w:t>
      </w:r>
      <w:r w:rsidR="00A153D9">
        <w:rPr>
          <w:rFonts w:cstheme="majorHAnsi"/>
          <w:szCs w:val="26"/>
          <w:lang w:val="en-US"/>
        </w:rPr>
        <w:t>279</w:t>
      </w:r>
      <w:r w:rsidR="00497FDD" w:rsidRPr="00341848">
        <w:rPr>
          <w:rFonts w:cstheme="majorHAnsi"/>
          <w:szCs w:val="26"/>
          <w:lang w:val="en-US"/>
        </w:rPr>
        <w:t xml:space="preserve"> công ty</w:t>
      </w:r>
      <w:r w:rsidR="00962C62" w:rsidRPr="00341848">
        <w:rPr>
          <w:rFonts w:cstheme="majorHAnsi"/>
          <w:szCs w:val="26"/>
          <w:lang w:val="en-US"/>
        </w:rPr>
        <w:t xml:space="preserve"> </w:t>
      </w:r>
      <w:r w:rsidR="00A153D9">
        <w:rPr>
          <w:rFonts w:cstheme="majorHAnsi"/>
          <w:szCs w:val="26"/>
          <w:lang w:val="en-US"/>
        </w:rPr>
        <w:t xml:space="preserve">niêm yết </w:t>
      </w:r>
      <w:r w:rsidR="00497FDD" w:rsidRPr="00341848">
        <w:rPr>
          <w:rFonts w:cstheme="majorHAnsi"/>
          <w:szCs w:val="26"/>
          <w:lang w:val="en-US"/>
        </w:rPr>
        <w:t>gồ</w:t>
      </w:r>
      <w:r w:rsidR="00965ECC">
        <w:rPr>
          <w:rFonts w:cstheme="majorHAnsi"/>
          <w:szCs w:val="26"/>
          <w:lang w:val="en-US"/>
        </w:rPr>
        <w:t xml:space="preserve">m 150 </w:t>
      </w:r>
      <w:r w:rsidR="00497FDD" w:rsidRPr="00341848">
        <w:rPr>
          <w:rFonts w:cstheme="majorHAnsi"/>
          <w:szCs w:val="26"/>
          <w:lang w:val="en-US"/>
        </w:rPr>
        <w:t>công ty niêm yế</w:t>
      </w:r>
      <w:r w:rsidR="00965ECC">
        <w:rPr>
          <w:rFonts w:cstheme="majorHAnsi"/>
          <w:szCs w:val="26"/>
          <w:lang w:val="en-US"/>
        </w:rPr>
        <w:t>t sàn HOSE và 129</w:t>
      </w:r>
      <w:r w:rsidR="00497FDD" w:rsidRPr="00341848">
        <w:rPr>
          <w:rFonts w:cstheme="majorHAnsi"/>
          <w:szCs w:val="26"/>
          <w:lang w:val="en-US"/>
        </w:rPr>
        <w:t xml:space="preserve"> công ty trên sàn HNX</w:t>
      </w:r>
      <w:r w:rsidR="00962C62" w:rsidRPr="00341848">
        <w:rPr>
          <w:rFonts w:cstheme="majorHAnsi"/>
          <w:szCs w:val="26"/>
          <w:lang w:val="en-US"/>
        </w:rPr>
        <w:t>.</w:t>
      </w:r>
      <w:r w:rsidR="00497FDD" w:rsidRPr="00341848">
        <w:rPr>
          <w:rFonts w:cstheme="majorHAnsi"/>
          <w:szCs w:val="26"/>
          <w:lang w:val="en-US"/>
        </w:rPr>
        <w:t xml:space="preserve"> </w:t>
      </w:r>
    </w:p>
    <w:p w14:paraId="003D1203" w14:textId="77777777" w:rsidR="003E5216" w:rsidRPr="00341848" w:rsidRDefault="003E5216" w:rsidP="00361353">
      <w:pPr>
        <w:pStyle w:val="ListParagraph"/>
        <w:numPr>
          <w:ilvl w:val="1"/>
          <w:numId w:val="1"/>
        </w:numPr>
        <w:spacing w:after="0" w:line="360" w:lineRule="auto"/>
        <w:ind w:left="0" w:firstLine="0"/>
        <w:rPr>
          <w:rFonts w:cstheme="majorHAnsi"/>
          <w:b/>
          <w:szCs w:val="26"/>
        </w:rPr>
      </w:pPr>
      <w:r w:rsidRPr="00341848">
        <w:rPr>
          <w:rFonts w:cstheme="majorHAnsi"/>
          <w:b/>
          <w:szCs w:val="26"/>
          <w:lang w:val="en-US"/>
        </w:rPr>
        <w:t>Mô hình nghiên cứu</w:t>
      </w:r>
    </w:p>
    <w:p w14:paraId="41E8A2C7" w14:textId="48F8327A" w:rsidR="00900A69" w:rsidRDefault="00900A69" w:rsidP="00361353">
      <w:pPr>
        <w:spacing w:after="0" w:line="360" w:lineRule="auto"/>
        <w:rPr>
          <w:rFonts w:cstheme="majorHAnsi"/>
          <w:szCs w:val="26"/>
          <w:lang w:val="en-US"/>
        </w:rPr>
      </w:pPr>
      <w:r w:rsidRPr="00341848">
        <w:rPr>
          <w:rFonts w:cstheme="majorHAnsi"/>
          <w:szCs w:val="26"/>
          <w:lang w:val="en-US"/>
        </w:rPr>
        <w:t xml:space="preserve">Tác giả kế thừa mô hình </w:t>
      </w:r>
      <w:r w:rsidR="00CA37DA" w:rsidRPr="00341848">
        <w:rPr>
          <w:rFonts w:cstheme="majorHAnsi"/>
          <w:szCs w:val="26"/>
          <w:lang w:val="en-US"/>
        </w:rPr>
        <w:t xml:space="preserve">nghiên cứu của </w:t>
      </w:r>
      <w:r w:rsidR="00394BD9" w:rsidRPr="00394BD9">
        <w:rPr>
          <w:rFonts w:cstheme="majorHAnsi"/>
          <w:szCs w:val="26"/>
        </w:rPr>
        <w:t xml:space="preserve">Habib </w:t>
      </w:r>
      <w:r w:rsidR="00394BD9">
        <w:rPr>
          <w:rFonts w:cstheme="majorHAnsi"/>
          <w:szCs w:val="26"/>
          <w:lang w:val="en-US"/>
        </w:rPr>
        <w:t xml:space="preserve">và cộng sự </w:t>
      </w:r>
      <w:r w:rsidR="004B1635" w:rsidRPr="004B1635">
        <w:rPr>
          <w:rFonts w:cstheme="majorHAnsi"/>
          <w:szCs w:val="26"/>
        </w:rPr>
        <w:t>(2013)</w:t>
      </w:r>
      <w:r w:rsidR="00895897">
        <w:rPr>
          <w:rFonts w:cstheme="majorHAnsi"/>
          <w:szCs w:val="26"/>
          <w:lang w:val="en-US"/>
        </w:rPr>
        <w:t xml:space="preserve">, </w:t>
      </w:r>
      <w:r w:rsidR="00895897" w:rsidRPr="00895897">
        <w:rPr>
          <w:rFonts w:cstheme="majorHAnsi"/>
          <w:szCs w:val="26"/>
          <w:lang w:val="en-US"/>
        </w:rPr>
        <w:t>Agrawal</w:t>
      </w:r>
      <w:r w:rsidR="00763670">
        <w:rPr>
          <w:rFonts w:cstheme="majorHAnsi"/>
          <w:szCs w:val="26"/>
          <w:lang w:val="en-US"/>
        </w:rPr>
        <w:t xml:space="preserve"> và</w:t>
      </w:r>
      <w:r w:rsidR="00895897">
        <w:rPr>
          <w:rFonts w:cstheme="majorHAnsi"/>
          <w:szCs w:val="26"/>
          <w:lang w:val="en-US"/>
        </w:rPr>
        <w:t xml:space="preserve"> Chatterjee </w:t>
      </w:r>
      <w:r w:rsidR="00895897" w:rsidRPr="00895897">
        <w:rPr>
          <w:rFonts w:cstheme="majorHAnsi"/>
          <w:szCs w:val="26"/>
          <w:lang w:val="en-US"/>
        </w:rPr>
        <w:t>(2015)</w:t>
      </w:r>
      <w:r w:rsidRPr="00341848">
        <w:rPr>
          <w:rFonts w:cstheme="majorHAnsi"/>
          <w:szCs w:val="26"/>
          <w:lang w:val="en-US"/>
        </w:rPr>
        <w:t xml:space="preserve"> để </w:t>
      </w:r>
      <w:r w:rsidRPr="00341848">
        <w:rPr>
          <w:rFonts w:cstheme="majorHAnsi"/>
          <w:szCs w:val="26"/>
        </w:rPr>
        <w:t>đo lường tác động của</w:t>
      </w:r>
      <w:r w:rsidRPr="00341848">
        <w:rPr>
          <w:rFonts w:cstheme="majorHAnsi"/>
          <w:szCs w:val="26"/>
          <w:lang w:val="en-US"/>
        </w:rPr>
        <w:t xml:space="preserve"> </w:t>
      </w:r>
      <w:r w:rsidR="004B1635">
        <w:rPr>
          <w:rFonts w:cstheme="majorHAnsi"/>
          <w:szCs w:val="26"/>
          <w:lang w:val="en-US"/>
        </w:rPr>
        <w:t>KNHĐLT</w:t>
      </w:r>
      <w:r w:rsidR="004B1635" w:rsidRPr="00341848">
        <w:rPr>
          <w:rFonts w:cstheme="majorHAnsi"/>
          <w:szCs w:val="26"/>
          <w:lang w:val="en-US"/>
        </w:rPr>
        <w:t xml:space="preserve"> đến </w:t>
      </w:r>
      <w:r w:rsidR="00480044">
        <w:rPr>
          <w:rFonts w:cstheme="majorHAnsi"/>
          <w:szCs w:val="26"/>
          <w:lang w:val="en-US"/>
        </w:rPr>
        <w:t>chất lượng báo cáo tài chính</w:t>
      </w:r>
      <w:r w:rsidRPr="00341848">
        <w:rPr>
          <w:rFonts w:cstheme="majorHAnsi"/>
          <w:szCs w:val="26"/>
          <w:lang w:val="en-US"/>
        </w:rPr>
        <w:t>. Mô hình nghiên cứu được đề xuất như sau:</w:t>
      </w:r>
    </w:p>
    <w:p w14:paraId="62D9BBD8" w14:textId="38BA25CC" w:rsidR="004525B0" w:rsidRPr="004F7790" w:rsidRDefault="008C0C3A" w:rsidP="004525B0">
      <w:pPr>
        <w:spacing w:line="360" w:lineRule="auto"/>
        <w:ind w:firstLine="284"/>
        <w:rPr>
          <w:rFonts w:ascii="Times New Roman" w:eastAsiaTheme="minorEastAsia" w:hAnsi="Times New Roman"/>
          <w:b/>
          <w:szCs w:val="26"/>
        </w:rPr>
      </w:pPr>
      <m:oMathPara>
        <m:oMathParaPr>
          <m:jc m:val="center"/>
        </m:oMathParaPr>
        <m:oMath>
          <m:sSub>
            <m:sSubPr>
              <m:ctrlPr>
                <w:rPr>
                  <w:rFonts w:ascii="Cambria Math" w:hAnsi="Cambria Math"/>
                  <w:b/>
                  <w:szCs w:val="26"/>
                </w:rPr>
              </m:ctrlPr>
            </m:sSubPr>
            <m:e>
              <m:r>
                <m:rPr>
                  <m:sty m:val="bi"/>
                </m:rPr>
                <w:rPr>
                  <w:rFonts w:ascii="Cambria Math" w:hAnsi="Cambria Math"/>
                  <w:szCs w:val="26"/>
                </w:rPr>
                <m:t>FRQ</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δ</m:t>
              </m:r>
            </m:e>
            <m:sub>
              <m:r>
                <m:rPr>
                  <m:sty m:val="b"/>
                </m:rPr>
                <w:rPr>
                  <w:rFonts w:ascii="Cambria Math" w:hAnsi="Cambria Math"/>
                  <w:szCs w:val="26"/>
                </w:rPr>
                <m:t>0</m:t>
              </m:r>
            </m:sub>
          </m:sSub>
          <m:r>
            <m:rPr>
              <m:sty m:val="b"/>
            </m:rPr>
            <w:rPr>
              <w:rFonts w:ascii="Cambria Math" w:hAnsi="Cambria Math"/>
              <w:szCs w:val="26"/>
            </w:rPr>
            <m:t>+</m:t>
          </m:r>
          <m:sSub>
            <m:sSubPr>
              <m:ctrlPr>
                <w:rPr>
                  <w:rFonts w:ascii="Cambria Math" w:hAnsi="Cambria Math"/>
                  <w:b/>
                  <w:szCs w:val="26"/>
                </w:rPr>
              </m:ctrlPr>
            </m:sSubPr>
            <m:e>
              <m:r>
                <m:rPr>
                  <m:sty m:val="b"/>
                </m:rPr>
                <w:rPr>
                  <w:rFonts w:ascii="Cambria Math" w:hAnsi="Cambria Math"/>
                  <w:szCs w:val="26"/>
                </w:rPr>
                <m:t xml:space="preserve">+ </m:t>
              </m:r>
              <m:sSub>
                <m:sSubPr>
                  <m:ctrlPr>
                    <w:rPr>
                      <w:rFonts w:ascii="Cambria Math" w:hAnsi="Cambria Math"/>
                      <w:b/>
                      <w:szCs w:val="26"/>
                    </w:rPr>
                  </m:ctrlPr>
                </m:sSubPr>
                <m:e>
                  <m:r>
                    <m:rPr>
                      <m:sty m:val="bi"/>
                    </m:rPr>
                    <w:rPr>
                      <w:rFonts w:ascii="Cambria Math" w:hAnsi="Cambria Math"/>
                      <w:szCs w:val="26"/>
                    </w:rPr>
                    <m:t>δ</m:t>
                  </m:r>
                </m:e>
                <m:sub>
                  <m:r>
                    <m:rPr>
                      <m:sty m:val="bi"/>
                    </m:rPr>
                    <w:rPr>
                      <w:rFonts w:ascii="Cambria Math" w:hAnsi="Cambria Math"/>
                      <w:szCs w:val="26"/>
                    </w:rPr>
                    <m:t>1</m:t>
                  </m:r>
                </m:sub>
              </m:sSub>
              <m:r>
                <m:rPr>
                  <m:sty m:val="bi"/>
                </m:rPr>
                <w:rPr>
                  <w:rFonts w:ascii="Cambria Math" w:hAnsi="Cambria Math"/>
                  <w:szCs w:val="26"/>
                </w:rPr>
                <m:t>Altman</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δ</m:t>
              </m:r>
            </m:e>
            <m:sub>
              <m:r>
                <m:rPr>
                  <m:sty m:val="b"/>
                </m:rPr>
                <w:rPr>
                  <w:rFonts w:ascii="Cambria Math" w:hAnsi="Cambria Math"/>
                  <w:szCs w:val="26"/>
                </w:rPr>
                <m:t>2</m:t>
              </m:r>
            </m:sub>
          </m:sSub>
          <m:sSub>
            <m:sSubPr>
              <m:ctrlPr>
                <w:rPr>
                  <w:rFonts w:ascii="Cambria Math" w:hAnsi="Cambria Math"/>
                  <w:b/>
                  <w:szCs w:val="26"/>
                </w:rPr>
              </m:ctrlPr>
            </m:sSubPr>
            <m:e>
              <m:r>
                <m:rPr>
                  <m:sty m:val="bi"/>
                </m:rPr>
                <w:rPr>
                  <w:rFonts w:ascii="Cambria Math" w:hAnsi="Cambria Math"/>
                  <w:szCs w:val="26"/>
                </w:rPr>
                <m:t>FA</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δ</m:t>
              </m:r>
            </m:e>
            <m:sub>
              <m:r>
                <m:rPr>
                  <m:sty m:val="b"/>
                </m:rPr>
                <w:rPr>
                  <w:rFonts w:ascii="Cambria Math" w:hAnsi="Cambria Math"/>
                  <w:szCs w:val="26"/>
                </w:rPr>
                <m:t>3</m:t>
              </m:r>
            </m:sub>
          </m:sSub>
          <m:sSub>
            <m:sSubPr>
              <m:ctrlPr>
                <w:rPr>
                  <w:rFonts w:ascii="Cambria Math" w:hAnsi="Cambria Math"/>
                  <w:b/>
                  <w:szCs w:val="26"/>
                </w:rPr>
              </m:ctrlPr>
            </m:sSubPr>
            <m:e>
              <m:r>
                <m:rPr>
                  <m:sty m:val="bi"/>
                </m:rPr>
                <w:rPr>
                  <w:rFonts w:ascii="Cambria Math" w:hAnsi="Cambria Math"/>
                  <w:szCs w:val="26"/>
                </w:rPr>
                <m:t>LEV</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δ</m:t>
              </m:r>
            </m:e>
            <m:sub>
              <m:r>
                <m:rPr>
                  <m:sty m:val="b"/>
                </m:rPr>
                <w:rPr>
                  <w:rFonts w:ascii="Cambria Math" w:hAnsi="Cambria Math"/>
                  <w:szCs w:val="26"/>
                </w:rPr>
                <m:t>4</m:t>
              </m:r>
            </m:sub>
          </m:sSub>
          <m:sSub>
            <m:sSubPr>
              <m:ctrlPr>
                <w:rPr>
                  <w:rFonts w:ascii="Cambria Math" w:hAnsi="Cambria Math"/>
                  <w:b/>
                  <w:szCs w:val="26"/>
                </w:rPr>
              </m:ctrlPr>
            </m:sSubPr>
            <m:e>
              <m:r>
                <m:rPr>
                  <m:sty m:val="bi"/>
                </m:rPr>
                <w:rPr>
                  <w:rFonts w:ascii="Cambria Math" w:hAnsi="Cambria Math"/>
                  <w:szCs w:val="26"/>
                </w:rPr>
                <m:t>ROA</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δ</m:t>
              </m:r>
            </m:e>
            <m:sub>
              <m:r>
                <m:rPr>
                  <m:sty m:val="b"/>
                </m:rPr>
                <w:rPr>
                  <w:rFonts w:ascii="Cambria Math" w:hAnsi="Cambria Math"/>
                  <w:szCs w:val="26"/>
                </w:rPr>
                <m:t>5</m:t>
              </m:r>
            </m:sub>
          </m:sSub>
          <m:sSub>
            <m:sSubPr>
              <m:ctrlPr>
                <w:rPr>
                  <w:rFonts w:ascii="Cambria Math" w:hAnsi="Cambria Math"/>
                  <w:b/>
                  <w:szCs w:val="26"/>
                </w:rPr>
              </m:ctrlPr>
            </m:sSubPr>
            <m:e>
              <m:r>
                <m:rPr>
                  <m:sty m:val="bi"/>
                </m:rPr>
                <w:rPr>
                  <w:rFonts w:ascii="Cambria Math" w:hAnsi="Cambria Math"/>
                  <w:szCs w:val="26"/>
                </w:rPr>
                <m:t>SIZE</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sSub>
                <m:sSubPr>
                  <m:ctrlPr>
                    <w:rPr>
                      <w:rFonts w:ascii="Cambria Math" w:hAnsi="Cambria Math"/>
                      <w:b/>
                      <w:szCs w:val="26"/>
                    </w:rPr>
                  </m:ctrlPr>
                </m:sSubPr>
                <m:e>
                  <m:r>
                    <m:rPr>
                      <m:sty m:val="bi"/>
                    </m:rPr>
                    <w:rPr>
                      <w:rFonts w:ascii="Cambria Math" w:hAnsi="Cambria Math"/>
                      <w:szCs w:val="26"/>
                    </w:rPr>
                    <m:t>δ</m:t>
                  </m:r>
                </m:e>
                <m:sub>
                  <m:r>
                    <m:rPr>
                      <m:sty m:val="b"/>
                    </m:rPr>
                    <w:rPr>
                      <w:rFonts w:ascii="Cambria Math" w:hAnsi="Cambria Math"/>
                      <w:szCs w:val="26"/>
                    </w:rPr>
                    <m:t>6</m:t>
                  </m:r>
                </m:sub>
              </m:sSub>
              <m:sSub>
                <m:sSubPr>
                  <m:ctrlPr>
                    <w:rPr>
                      <w:rFonts w:ascii="Cambria Math" w:hAnsi="Cambria Math"/>
                      <w:b/>
                      <w:szCs w:val="26"/>
                    </w:rPr>
                  </m:ctrlPr>
                </m:sSubPr>
                <m:e>
                  <m:r>
                    <m:rPr>
                      <m:sty m:val="bi"/>
                    </m:rPr>
                    <w:rPr>
                      <w:rFonts w:ascii="Cambria Math" w:hAnsi="Cambria Math"/>
                      <w:szCs w:val="26"/>
                    </w:rPr>
                    <m:t>WCA</m:t>
                  </m:r>
                </m:e>
                <m:sub>
                  <m:r>
                    <m:rPr>
                      <m:sty m:val="bi"/>
                    </m:rPr>
                    <w:rPr>
                      <w:rFonts w:ascii="Cambria Math" w:hAnsi="Cambria Math"/>
                      <w:szCs w:val="26"/>
                    </w:rPr>
                    <m:t>it</m:t>
                  </m:r>
                </m:sub>
              </m:sSub>
            </m:e>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ε</m:t>
              </m:r>
            </m:e>
            <m:sub>
              <m:r>
                <m:rPr>
                  <m:sty m:val="bi"/>
                </m:rPr>
                <w:rPr>
                  <w:rFonts w:ascii="Cambria Math" w:hAnsi="Cambria Math"/>
                  <w:szCs w:val="26"/>
                </w:rPr>
                <m:t>it</m:t>
              </m:r>
            </m:sub>
          </m:sSub>
        </m:oMath>
      </m:oMathPara>
    </w:p>
    <w:p w14:paraId="2E752E3A" w14:textId="773ABD3B" w:rsidR="00E515A5" w:rsidRPr="00341848" w:rsidRDefault="00E515A5" w:rsidP="00902BA1">
      <w:pPr>
        <w:spacing w:line="360" w:lineRule="auto"/>
        <w:ind w:firstLine="284"/>
        <w:rPr>
          <w:rFonts w:cstheme="majorHAnsi"/>
          <w:szCs w:val="26"/>
          <w:lang w:val="en-US"/>
        </w:rPr>
      </w:pPr>
      <w:r w:rsidRPr="00341848">
        <w:rPr>
          <w:rFonts w:cstheme="majorHAnsi"/>
          <w:szCs w:val="26"/>
        </w:rPr>
        <w:t>Trong đó:</w:t>
      </w:r>
      <w:r w:rsidR="002F3101" w:rsidRPr="00341848">
        <w:rPr>
          <w:rFonts w:cstheme="majorHAnsi"/>
          <w:szCs w:val="26"/>
          <w:lang w:val="en-US"/>
        </w:rPr>
        <w:t xml:space="preserve"> </w:t>
      </w:r>
      <w:r w:rsidR="00F943BF">
        <w:rPr>
          <w:rFonts w:cstheme="majorHAnsi"/>
          <w:szCs w:val="26"/>
        </w:rPr>
        <w:t>i = 1,2,...,279</w:t>
      </w:r>
      <w:r w:rsidRPr="00341848">
        <w:rPr>
          <w:rFonts w:cstheme="majorHAnsi"/>
          <w:szCs w:val="26"/>
        </w:rPr>
        <w:t xml:space="preserve"> (với i là thể </w:t>
      </w:r>
      <w:r w:rsidRPr="004F7790">
        <w:rPr>
          <w:rFonts w:cstheme="majorHAnsi"/>
          <w:szCs w:val="26"/>
        </w:rPr>
        <w:t>hiệ</w:t>
      </w:r>
      <w:r w:rsidR="00F943BF" w:rsidRPr="004F7790">
        <w:rPr>
          <w:rFonts w:cstheme="majorHAnsi"/>
          <w:szCs w:val="26"/>
        </w:rPr>
        <w:t xml:space="preserve">n cho </w:t>
      </w:r>
      <w:r w:rsidR="00F943BF" w:rsidRPr="004F7790">
        <w:rPr>
          <w:rFonts w:cstheme="majorHAnsi"/>
          <w:szCs w:val="26"/>
          <w:lang w:val="en-US"/>
        </w:rPr>
        <w:t>279</w:t>
      </w:r>
      <w:r w:rsidRPr="004F7790">
        <w:rPr>
          <w:rFonts w:cstheme="majorHAnsi"/>
          <w:szCs w:val="26"/>
        </w:rPr>
        <w:t xml:space="preserve"> công ty niêm yết)</w:t>
      </w:r>
      <w:r w:rsidR="002F3101" w:rsidRPr="004F7790">
        <w:rPr>
          <w:rFonts w:cstheme="majorHAnsi"/>
          <w:szCs w:val="26"/>
          <w:lang w:val="en-US"/>
        </w:rPr>
        <w:t xml:space="preserve">; </w:t>
      </w:r>
      <w:r w:rsidRPr="004F7790">
        <w:rPr>
          <w:rFonts w:cstheme="majorHAnsi"/>
          <w:szCs w:val="26"/>
        </w:rPr>
        <w:t>t = 1</w:t>
      </w:r>
      <w:r w:rsidR="00644B19" w:rsidRPr="004F7790">
        <w:rPr>
          <w:rFonts w:cstheme="majorHAnsi"/>
          <w:szCs w:val="26"/>
        </w:rPr>
        <w:t>,2,..,6</w:t>
      </w:r>
      <w:r w:rsidRPr="004F7790">
        <w:rPr>
          <w:rFonts w:cstheme="majorHAnsi"/>
          <w:szCs w:val="26"/>
        </w:rPr>
        <w:t xml:space="preserve"> (với t là khoảng thờ</w:t>
      </w:r>
      <w:r w:rsidR="00644B19" w:rsidRPr="004F7790">
        <w:rPr>
          <w:rFonts w:cstheme="majorHAnsi"/>
          <w:szCs w:val="26"/>
        </w:rPr>
        <w:t>i gian 6</w:t>
      </w:r>
      <w:r w:rsidRPr="004F7790">
        <w:rPr>
          <w:rFonts w:cstheme="majorHAnsi"/>
          <w:szCs w:val="26"/>
        </w:rPr>
        <w:t xml:space="preserve"> năm từ</w:t>
      </w:r>
      <w:r w:rsidR="00644B19" w:rsidRPr="004F7790">
        <w:rPr>
          <w:rFonts w:cstheme="majorHAnsi"/>
          <w:szCs w:val="26"/>
        </w:rPr>
        <w:t xml:space="preserve"> 2009</w:t>
      </w:r>
      <w:r w:rsidRPr="004F7790">
        <w:rPr>
          <w:rFonts w:cstheme="majorHAnsi"/>
          <w:szCs w:val="26"/>
        </w:rPr>
        <w:t xml:space="preserve"> đến 201</w:t>
      </w:r>
      <w:r w:rsidR="00644B19" w:rsidRPr="004F7790">
        <w:rPr>
          <w:rFonts w:cstheme="majorHAnsi"/>
          <w:szCs w:val="26"/>
          <w:lang w:val="en-US"/>
        </w:rPr>
        <w:t>5</w:t>
      </w:r>
      <w:r w:rsidRPr="004F7790">
        <w:rPr>
          <w:rFonts w:cstheme="majorHAnsi"/>
          <w:szCs w:val="26"/>
        </w:rPr>
        <w:t>)</w:t>
      </w:r>
      <w:r w:rsidR="002F3101" w:rsidRPr="004F7790">
        <w:rPr>
          <w:rFonts w:cstheme="majorHAnsi"/>
          <w:szCs w:val="26"/>
          <w:lang w:val="en-US"/>
        </w:rPr>
        <w:t>;</w:t>
      </w:r>
      <w:r w:rsidR="00CA37DA" w:rsidRPr="004F7790">
        <w:rPr>
          <w:rFonts w:cstheme="majorHAnsi"/>
          <w:szCs w:val="26"/>
          <w:lang w:val="en-US"/>
        </w:rPr>
        <w:t xml:space="preserve"> </w:t>
      </w:r>
      <w:r w:rsidR="00902BA1">
        <w:rPr>
          <w:rFonts w:cstheme="majorHAnsi"/>
          <w:szCs w:val="26"/>
          <w:lang w:val="en-US"/>
        </w:rPr>
        <w:t xml:space="preserve">Biến </w:t>
      </w:r>
      <w:r w:rsidR="00D80BF0">
        <w:rPr>
          <w:rFonts w:cstheme="majorHAnsi"/>
          <w:szCs w:val="26"/>
          <w:lang w:val="en-US"/>
        </w:rPr>
        <w:t>FRQ</w:t>
      </w:r>
      <w:r w:rsidRPr="004F7790">
        <w:rPr>
          <w:rFonts w:cstheme="majorHAnsi"/>
          <w:szCs w:val="26"/>
        </w:rPr>
        <w:t xml:space="preserve"> </w:t>
      </w:r>
      <w:r w:rsidR="002F3101" w:rsidRPr="004F7790">
        <w:rPr>
          <w:rFonts w:cstheme="majorHAnsi"/>
          <w:szCs w:val="26"/>
          <w:lang w:val="en-US"/>
        </w:rPr>
        <w:t>-</w:t>
      </w:r>
      <w:r w:rsidRPr="004F7790">
        <w:rPr>
          <w:rFonts w:cstheme="majorHAnsi"/>
          <w:szCs w:val="26"/>
        </w:rPr>
        <w:t xml:space="preserve"> biến phụ thuộc, thể hiện </w:t>
      </w:r>
      <w:r w:rsidR="00D80BF0">
        <w:rPr>
          <w:rFonts w:cstheme="majorHAnsi"/>
          <w:szCs w:val="26"/>
          <w:lang w:val="en-US"/>
        </w:rPr>
        <w:t>chất lượng báo cáo tài chính</w:t>
      </w:r>
      <w:r w:rsidR="00C92C15" w:rsidRPr="004F7790">
        <w:rPr>
          <w:rFonts w:cstheme="majorHAnsi"/>
          <w:szCs w:val="26"/>
          <w:lang w:val="en-US"/>
        </w:rPr>
        <w:t xml:space="preserve"> </w:t>
      </w:r>
      <w:r w:rsidRPr="004F7790">
        <w:rPr>
          <w:rFonts w:cstheme="majorHAnsi"/>
          <w:szCs w:val="26"/>
        </w:rPr>
        <w:t>của công ty i tại thời điể</w:t>
      </w:r>
      <w:r w:rsidR="00EE77E9">
        <w:rPr>
          <w:rFonts w:cstheme="majorHAnsi"/>
          <w:szCs w:val="26"/>
        </w:rPr>
        <w:t>m t</w:t>
      </w:r>
      <w:r w:rsidR="004742AF" w:rsidRPr="004F7790">
        <w:rPr>
          <w:rFonts w:cstheme="majorHAnsi"/>
          <w:szCs w:val="26"/>
          <w:lang w:val="en-US"/>
        </w:rPr>
        <w:t xml:space="preserve">; </w:t>
      </w:r>
      <w:r w:rsidR="00902BA1">
        <w:rPr>
          <w:rFonts w:cstheme="majorHAnsi"/>
          <w:szCs w:val="26"/>
          <w:lang w:val="en-US"/>
        </w:rPr>
        <w:t xml:space="preserve">Biến Altman – biến độc lập thể hiện khả năng hoạt động liên tục của công ty i tại thời điểm t.; Biến </w:t>
      </w:r>
      <w:r w:rsidR="004F7790" w:rsidRPr="004F7790">
        <w:rPr>
          <w:rFonts w:cstheme="majorHAnsi"/>
          <w:szCs w:val="26"/>
          <w:lang w:val="en-US"/>
        </w:rPr>
        <w:t>FA</w:t>
      </w:r>
      <w:r w:rsidRPr="004F7790">
        <w:rPr>
          <w:rFonts w:cstheme="majorHAnsi"/>
          <w:szCs w:val="26"/>
        </w:rPr>
        <w:t xml:space="preserve"> </w:t>
      </w:r>
      <w:r w:rsidR="00807732" w:rsidRPr="004F7790">
        <w:rPr>
          <w:rFonts w:cstheme="majorHAnsi"/>
          <w:szCs w:val="26"/>
          <w:lang w:val="en-US"/>
        </w:rPr>
        <w:t>–</w:t>
      </w:r>
      <w:r w:rsidRPr="004F7790">
        <w:rPr>
          <w:rFonts w:cstheme="majorHAnsi"/>
          <w:szCs w:val="26"/>
        </w:rPr>
        <w:t xml:space="preserve"> </w:t>
      </w:r>
      <w:r w:rsidR="00807732" w:rsidRPr="004F7790">
        <w:rPr>
          <w:rFonts w:cstheme="majorHAnsi"/>
          <w:szCs w:val="26"/>
          <w:lang w:val="en-US"/>
        </w:rPr>
        <w:t>biế</w:t>
      </w:r>
      <w:r w:rsidR="003F6862">
        <w:rPr>
          <w:rFonts w:cstheme="majorHAnsi"/>
          <w:szCs w:val="26"/>
          <w:lang w:val="en-US"/>
        </w:rPr>
        <w:t>n kiểm soát</w:t>
      </w:r>
      <w:r w:rsidR="00807732" w:rsidRPr="004F7790">
        <w:rPr>
          <w:rFonts w:cstheme="majorHAnsi"/>
          <w:szCs w:val="26"/>
          <w:lang w:val="en-US"/>
        </w:rPr>
        <w:t xml:space="preserve">, </w:t>
      </w:r>
      <w:r w:rsidR="004F7790" w:rsidRPr="004F7790">
        <w:rPr>
          <w:rFonts w:cstheme="majorHAnsi"/>
          <w:szCs w:val="26"/>
          <w:lang w:val="en-US"/>
        </w:rPr>
        <w:t>thể hiện tài sản cố định hữu hình</w:t>
      </w:r>
      <w:r w:rsidR="004F7790" w:rsidRPr="004F7790">
        <w:t xml:space="preserve"> </w:t>
      </w:r>
      <w:r w:rsidR="004F7790" w:rsidRPr="004F7790">
        <w:rPr>
          <w:rFonts w:cstheme="majorHAnsi"/>
          <w:szCs w:val="26"/>
          <w:lang w:val="en-US"/>
        </w:rPr>
        <w:t>của công ty i tại thời điểm t,  (FA</w:t>
      </w:r>
      <w:r w:rsidR="004F7790">
        <w:rPr>
          <w:rFonts w:cstheme="majorHAnsi"/>
          <w:szCs w:val="26"/>
          <w:lang w:val="en-US"/>
        </w:rPr>
        <w:t xml:space="preserve"> </w:t>
      </w:r>
      <w:r w:rsidR="004F7790" w:rsidRPr="004F7790">
        <w:rPr>
          <w:rFonts w:cstheme="majorHAnsi"/>
          <w:szCs w:val="26"/>
          <w:lang w:val="en-US"/>
        </w:rPr>
        <w:t>=</w:t>
      </w:r>
      <w:r w:rsidR="004F7790">
        <w:rPr>
          <w:rFonts w:cstheme="majorHAnsi"/>
          <w:szCs w:val="26"/>
          <w:lang w:val="en-US"/>
        </w:rPr>
        <w:t xml:space="preserve"> </w:t>
      </w:r>
      <w:r w:rsidR="004F7790" w:rsidRPr="004F7790">
        <w:rPr>
          <w:rFonts w:cstheme="majorHAnsi"/>
          <w:szCs w:val="26"/>
          <w:lang w:val="en-US"/>
        </w:rPr>
        <w:t>Nguyên giá tài sản cố định hữ</w:t>
      </w:r>
      <w:r w:rsidR="004F7790">
        <w:rPr>
          <w:rFonts w:cstheme="majorHAnsi"/>
          <w:szCs w:val="26"/>
          <w:lang w:val="en-US"/>
        </w:rPr>
        <w:t>u hình/ Tổng</w:t>
      </w:r>
      <w:r w:rsidR="004F7790" w:rsidRPr="004F7790">
        <w:rPr>
          <w:rFonts w:cstheme="majorHAnsi"/>
          <w:szCs w:val="26"/>
          <w:lang w:val="en-US"/>
        </w:rPr>
        <w:t xml:space="preserve"> tài sản)</w:t>
      </w:r>
      <w:r w:rsidR="00E16C4F">
        <w:rPr>
          <w:rFonts w:cstheme="majorHAnsi"/>
          <w:szCs w:val="26"/>
          <w:lang w:val="en-US"/>
        </w:rPr>
        <w:t xml:space="preserve">; LEV- </w:t>
      </w:r>
      <w:r w:rsidR="003F6862" w:rsidRPr="004F7790">
        <w:rPr>
          <w:rFonts w:cstheme="majorHAnsi"/>
          <w:szCs w:val="26"/>
          <w:lang w:val="en-US"/>
        </w:rPr>
        <w:t>biế</w:t>
      </w:r>
      <w:r w:rsidR="003F6862">
        <w:rPr>
          <w:rFonts w:cstheme="majorHAnsi"/>
          <w:szCs w:val="26"/>
          <w:lang w:val="en-US"/>
        </w:rPr>
        <w:t xml:space="preserve">n kiểm soát </w:t>
      </w:r>
      <w:r w:rsidR="00E16C4F">
        <w:rPr>
          <w:rFonts w:cstheme="majorHAnsi"/>
          <w:szCs w:val="26"/>
          <w:lang w:val="en-US"/>
        </w:rPr>
        <w:t>thể hiện tỷ lệ tổng nợ</w:t>
      </w:r>
      <w:r w:rsidR="00E74721">
        <w:rPr>
          <w:rFonts w:cstheme="majorHAnsi"/>
          <w:szCs w:val="26"/>
          <w:lang w:val="en-US"/>
        </w:rPr>
        <w:t xml:space="preserve"> phải trả</w:t>
      </w:r>
      <w:r w:rsidR="00E16C4F">
        <w:rPr>
          <w:rFonts w:cstheme="majorHAnsi"/>
          <w:szCs w:val="26"/>
          <w:lang w:val="en-US"/>
        </w:rPr>
        <w:t xml:space="preserve"> trên tổng tài sản của </w:t>
      </w:r>
      <w:r w:rsidR="00E16C4F" w:rsidRPr="004F7790">
        <w:rPr>
          <w:rFonts w:cstheme="majorHAnsi"/>
          <w:szCs w:val="26"/>
        </w:rPr>
        <w:t>công ty i tại thời điểm t</w:t>
      </w:r>
      <w:r w:rsidR="00E16C4F">
        <w:rPr>
          <w:rFonts w:cstheme="majorHAnsi"/>
          <w:szCs w:val="26"/>
          <w:lang w:val="en-US"/>
        </w:rPr>
        <w:t>, (LEV= Tổng nợ</w:t>
      </w:r>
      <w:r w:rsidR="00E74721">
        <w:rPr>
          <w:rFonts w:cstheme="majorHAnsi"/>
          <w:szCs w:val="26"/>
          <w:lang w:val="en-US"/>
        </w:rPr>
        <w:t xml:space="preserve"> phải trả</w:t>
      </w:r>
      <w:r w:rsidR="00E16C4F">
        <w:rPr>
          <w:rFonts w:cstheme="majorHAnsi"/>
          <w:szCs w:val="26"/>
          <w:lang w:val="en-US"/>
        </w:rPr>
        <w:t xml:space="preserve">/ Tổng tài sản); </w:t>
      </w:r>
      <w:r w:rsidR="00902BA1">
        <w:rPr>
          <w:rFonts w:cstheme="majorHAnsi"/>
          <w:szCs w:val="26"/>
          <w:lang w:val="en-US"/>
        </w:rPr>
        <w:t xml:space="preserve">Biến </w:t>
      </w:r>
      <w:r w:rsidR="00E16C4F" w:rsidRPr="00E16C4F">
        <w:rPr>
          <w:rFonts w:cstheme="majorHAnsi"/>
          <w:szCs w:val="26"/>
          <w:lang w:val="en-US"/>
        </w:rPr>
        <w:t xml:space="preserve">ROA </w:t>
      </w:r>
      <w:r w:rsidR="00E16C4F">
        <w:rPr>
          <w:rFonts w:cstheme="majorHAnsi"/>
          <w:szCs w:val="26"/>
          <w:lang w:val="en-US"/>
        </w:rPr>
        <w:t xml:space="preserve">– </w:t>
      </w:r>
      <w:r w:rsidR="003F6862" w:rsidRPr="004F7790">
        <w:rPr>
          <w:rFonts w:cstheme="majorHAnsi"/>
          <w:szCs w:val="26"/>
          <w:lang w:val="en-US"/>
        </w:rPr>
        <w:t>biế</w:t>
      </w:r>
      <w:r w:rsidR="003F6862">
        <w:rPr>
          <w:rFonts w:cstheme="majorHAnsi"/>
          <w:szCs w:val="26"/>
          <w:lang w:val="en-US"/>
        </w:rPr>
        <w:t>n kiểm soát</w:t>
      </w:r>
      <w:r w:rsidR="00E16C4F">
        <w:rPr>
          <w:rFonts w:cstheme="majorHAnsi"/>
          <w:szCs w:val="26"/>
          <w:lang w:val="en-US"/>
        </w:rPr>
        <w:t>, thể hiện tỷ lệ lợi nhuận trên tài sản</w:t>
      </w:r>
      <w:r w:rsidR="009E7122">
        <w:rPr>
          <w:rFonts w:cstheme="majorHAnsi"/>
          <w:szCs w:val="26"/>
          <w:lang w:val="en-US"/>
        </w:rPr>
        <w:t xml:space="preserve"> của </w:t>
      </w:r>
      <w:r w:rsidR="009E7122" w:rsidRPr="004F7790">
        <w:rPr>
          <w:rFonts w:cstheme="majorHAnsi"/>
          <w:szCs w:val="26"/>
        </w:rPr>
        <w:t>công ty i tại thời điểm t</w:t>
      </w:r>
      <w:r w:rsidR="00E16C4F">
        <w:rPr>
          <w:rFonts w:cstheme="majorHAnsi"/>
          <w:szCs w:val="26"/>
          <w:lang w:val="en-US"/>
        </w:rPr>
        <w:t xml:space="preserve"> (ROA=</w:t>
      </w:r>
      <w:r w:rsidR="00E16C4F" w:rsidRPr="00E16C4F">
        <w:rPr>
          <w:rFonts w:cstheme="majorHAnsi"/>
          <w:szCs w:val="26"/>
          <w:lang w:val="en-US"/>
        </w:rPr>
        <w:t xml:space="preserve"> Lợi nhuận trước thuế</w:t>
      </w:r>
      <w:r w:rsidR="00E16C4F">
        <w:rPr>
          <w:rFonts w:cstheme="majorHAnsi"/>
          <w:szCs w:val="26"/>
          <w:lang w:val="en-US"/>
        </w:rPr>
        <w:t xml:space="preserve"> và lãi vay</w:t>
      </w:r>
      <w:r w:rsidR="00E16C4F" w:rsidRPr="00E16C4F">
        <w:rPr>
          <w:rFonts w:cstheme="majorHAnsi"/>
          <w:szCs w:val="26"/>
          <w:lang w:val="en-US"/>
        </w:rPr>
        <w:t>/Tổng tài sản</w:t>
      </w:r>
      <w:r w:rsidR="00E16C4F">
        <w:rPr>
          <w:rFonts w:cstheme="majorHAnsi"/>
          <w:szCs w:val="26"/>
          <w:lang w:val="en-US"/>
        </w:rPr>
        <w:t>)</w:t>
      </w:r>
      <w:r w:rsidR="004742AF" w:rsidRPr="004F7790">
        <w:rPr>
          <w:rFonts w:cstheme="majorHAnsi"/>
          <w:szCs w:val="26"/>
        </w:rPr>
        <w:t xml:space="preserve">; </w:t>
      </w:r>
      <w:r w:rsidR="00902BA1">
        <w:rPr>
          <w:rFonts w:cstheme="majorHAnsi"/>
          <w:szCs w:val="26"/>
          <w:lang w:val="en-US"/>
        </w:rPr>
        <w:t xml:space="preserve">Biến </w:t>
      </w:r>
      <w:r w:rsidR="00E16C4F">
        <w:rPr>
          <w:rFonts w:cstheme="majorHAnsi"/>
          <w:szCs w:val="26"/>
          <w:lang w:val="en-US"/>
        </w:rPr>
        <w:t>SIZE</w:t>
      </w:r>
      <w:r w:rsidR="00E16C4F" w:rsidRPr="00E16C4F">
        <w:rPr>
          <w:rFonts w:cstheme="majorHAnsi"/>
          <w:szCs w:val="26"/>
          <w:lang w:val="en-US"/>
        </w:rPr>
        <w:t xml:space="preserve"> </w:t>
      </w:r>
      <w:r w:rsidR="00E16C4F">
        <w:rPr>
          <w:rFonts w:cstheme="majorHAnsi"/>
          <w:szCs w:val="26"/>
          <w:lang w:val="en-US"/>
        </w:rPr>
        <w:t xml:space="preserve">– </w:t>
      </w:r>
      <w:r w:rsidR="003F6862" w:rsidRPr="004F7790">
        <w:rPr>
          <w:rFonts w:cstheme="majorHAnsi"/>
          <w:szCs w:val="26"/>
          <w:lang w:val="en-US"/>
        </w:rPr>
        <w:t>biế</w:t>
      </w:r>
      <w:r w:rsidR="003F6862">
        <w:rPr>
          <w:rFonts w:cstheme="majorHAnsi"/>
          <w:szCs w:val="26"/>
          <w:lang w:val="en-US"/>
        </w:rPr>
        <w:t>n kiểm soát</w:t>
      </w:r>
      <w:r w:rsidR="00E16C4F">
        <w:rPr>
          <w:rFonts w:cstheme="majorHAnsi"/>
          <w:szCs w:val="26"/>
          <w:lang w:val="en-US"/>
        </w:rPr>
        <w:t xml:space="preserve">, thể hiện </w:t>
      </w:r>
      <w:r w:rsidR="009E7122">
        <w:rPr>
          <w:rFonts w:cstheme="majorHAnsi"/>
          <w:szCs w:val="26"/>
          <w:lang w:val="en-US"/>
        </w:rPr>
        <w:t xml:space="preserve">quy mô doanh nghiệp của </w:t>
      </w:r>
      <w:r w:rsidR="009E7122" w:rsidRPr="004F7790">
        <w:rPr>
          <w:rFonts w:cstheme="majorHAnsi"/>
          <w:szCs w:val="26"/>
        </w:rPr>
        <w:t>công ty i tại thời điểm t</w:t>
      </w:r>
      <w:r w:rsidR="009E7122">
        <w:rPr>
          <w:rFonts w:cstheme="majorHAnsi"/>
          <w:szCs w:val="26"/>
          <w:lang w:val="en-US"/>
        </w:rPr>
        <w:t xml:space="preserve"> (SIZE</w:t>
      </w:r>
      <w:r w:rsidR="00E16C4F">
        <w:rPr>
          <w:rFonts w:cstheme="majorHAnsi"/>
          <w:szCs w:val="26"/>
          <w:lang w:val="en-US"/>
        </w:rPr>
        <w:t>=</w:t>
      </w:r>
      <w:r w:rsidR="00902BA1">
        <w:rPr>
          <w:rFonts w:cstheme="majorHAnsi"/>
          <w:szCs w:val="26"/>
          <w:lang w:val="en-US"/>
        </w:rPr>
        <w:t xml:space="preserve"> ln(</w:t>
      </w:r>
      <w:r w:rsidR="00E16C4F" w:rsidRPr="00E16C4F">
        <w:rPr>
          <w:rFonts w:cstheme="majorHAnsi"/>
          <w:szCs w:val="26"/>
          <w:lang w:val="en-US"/>
        </w:rPr>
        <w:t>Tổng tài sản</w:t>
      </w:r>
      <w:r w:rsidR="00E16C4F">
        <w:rPr>
          <w:rFonts w:cstheme="majorHAnsi"/>
          <w:szCs w:val="26"/>
          <w:lang w:val="en-US"/>
        </w:rPr>
        <w:t>)</w:t>
      </w:r>
      <w:r w:rsidR="00902BA1">
        <w:rPr>
          <w:rFonts w:cstheme="majorHAnsi"/>
          <w:szCs w:val="26"/>
          <w:lang w:val="en-US"/>
        </w:rPr>
        <w:t>)</w:t>
      </w:r>
      <w:r w:rsidR="009E7122">
        <w:rPr>
          <w:rFonts w:cstheme="majorHAnsi"/>
          <w:szCs w:val="26"/>
          <w:lang w:val="en-US"/>
        </w:rPr>
        <w:t>;</w:t>
      </w:r>
      <w:r w:rsidR="009E7122" w:rsidRPr="009E7122">
        <w:rPr>
          <w:rFonts w:cstheme="majorHAnsi"/>
          <w:szCs w:val="26"/>
          <w:lang w:val="en-US"/>
        </w:rPr>
        <w:t xml:space="preserve"> </w:t>
      </w:r>
      <w:r w:rsidR="00902BA1">
        <w:rPr>
          <w:rFonts w:cstheme="majorHAnsi"/>
          <w:szCs w:val="26"/>
          <w:lang w:val="en-US"/>
        </w:rPr>
        <w:t xml:space="preserve">Biến </w:t>
      </w:r>
      <w:r w:rsidR="009E7122">
        <w:rPr>
          <w:rFonts w:cstheme="majorHAnsi"/>
          <w:szCs w:val="26"/>
          <w:lang w:val="en-US"/>
        </w:rPr>
        <w:t>WCA</w:t>
      </w:r>
      <w:r w:rsidR="009E7122" w:rsidRPr="00E16C4F">
        <w:rPr>
          <w:rFonts w:cstheme="majorHAnsi"/>
          <w:szCs w:val="26"/>
          <w:lang w:val="en-US"/>
        </w:rPr>
        <w:t xml:space="preserve"> </w:t>
      </w:r>
      <w:r w:rsidR="009E7122">
        <w:rPr>
          <w:rFonts w:cstheme="majorHAnsi"/>
          <w:szCs w:val="26"/>
          <w:lang w:val="en-US"/>
        </w:rPr>
        <w:t xml:space="preserve">– </w:t>
      </w:r>
      <w:r w:rsidR="003F6862" w:rsidRPr="004F7790">
        <w:rPr>
          <w:rFonts w:cstheme="majorHAnsi"/>
          <w:szCs w:val="26"/>
          <w:lang w:val="en-US"/>
        </w:rPr>
        <w:t>biế</w:t>
      </w:r>
      <w:r w:rsidR="003F6862">
        <w:rPr>
          <w:rFonts w:cstheme="majorHAnsi"/>
          <w:szCs w:val="26"/>
          <w:lang w:val="en-US"/>
        </w:rPr>
        <w:t>n kiểm soát</w:t>
      </w:r>
      <w:r w:rsidR="009E7122">
        <w:rPr>
          <w:rFonts w:cstheme="majorHAnsi"/>
          <w:szCs w:val="26"/>
          <w:lang w:val="en-US"/>
        </w:rPr>
        <w:t xml:space="preserve">, thể hiện vốn lưu động của </w:t>
      </w:r>
      <w:r w:rsidR="009E7122" w:rsidRPr="004F7790">
        <w:rPr>
          <w:rFonts w:cstheme="majorHAnsi"/>
          <w:szCs w:val="26"/>
        </w:rPr>
        <w:t>công ty i tại thời điểm t</w:t>
      </w:r>
      <w:r w:rsidR="009E7122">
        <w:rPr>
          <w:rFonts w:cstheme="majorHAnsi"/>
          <w:szCs w:val="26"/>
          <w:lang w:val="en-US"/>
        </w:rPr>
        <w:t xml:space="preserve"> (WCA=</w:t>
      </w:r>
      <w:r w:rsidR="009E7122" w:rsidRPr="00E16C4F">
        <w:rPr>
          <w:rFonts w:cstheme="majorHAnsi"/>
          <w:szCs w:val="26"/>
          <w:lang w:val="en-US"/>
        </w:rPr>
        <w:t xml:space="preserve"> </w:t>
      </w:r>
      <w:r w:rsidR="009E7122">
        <w:rPr>
          <w:rFonts w:cstheme="majorHAnsi"/>
          <w:szCs w:val="26"/>
          <w:lang w:val="en-US"/>
        </w:rPr>
        <w:t>(Tài sản ngắn hạn –Nợ ngắn hạn)/</w:t>
      </w:r>
      <w:r w:rsidR="009E7122" w:rsidRPr="00E16C4F">
        <w:rPr>
          <w:rFonts w:cstheme="majorHAnsi"/>
          <w:szCs w:val="26"/>
          <w:lang w:val="en-US"/>
        </w:rPr>
        <w:t>Tổng tài sản</w:t>
      </w:r>
      <w:r w:rsidR="00000508">
        <w:rPr>
          <w:rFonts w:cstheme="majorHAnsi"/>
          <w:szCs w:val="26"/>
          <w:lang w:val="en-US"/>
        </w:rPr>
        <w:t>)</w:t>
      </w:r>
      <w:r w:rsidR="009E7122">
        <w:rPr>
          <w:rFonts w:cstheme="majorHAnsi"/>
          <w:szCs w:val="26"/>
          <w:lang w:val="en-US"/>
        </w:rPr>
        <w:t xml:space="preserve">;   </w:t>
      </w:r>
      <m:oMath>
        <m:r>
          <m:rPr>
            <m:sty m:val="bi"/>
          </m:rPr>
          <w:rPr>
            <w:rFonts w:ascii="Cambria Math" w:hAnsi="Cambria Math"/>
            <w:szCs w:val="26"/>
          </w:rPr>
          <m:t>δ</m:t>
        </m:r>
      </m:oMath>
      <w:r w:rsidR="009E7122" w:rsidRPr="004F7790">
        <w:rPr>
          <w:rFonts w:cstheme="majorHAnsi"/>
          <w:szCs w:val="26"/>
          <w:vertAlign w:val="subscript"/>
        </w:rPr>
        <w:t xml:space="preserve"> </w:t>
      </w:r>
      <w:r w:rsidR="00CA37DA" w:rsidRPr="004F7790">
        <w:rPr>
          <w:rFonts w:cstheme="majorHAnsi"/>
          <w:szCs w:val="26"/>
          <w:vertAlign w:val="subscript"/>
        </w:rPr>
        <w:t>1</w:t>
      </w:r>
      <w:r w:rsidR="009E7122">
        <w:rPr>
          <w:rFonts w:cstheme="majorHAnsi"/>
          <w:szCs w:val="26"/>
        </w:rPr>
        <w:t xml:space="preserve">, </w:t>
      </w:r>
      <m:oMath>
        <m:r>
          <m:rPr>
            <m:sty m:val="bi"/>
          </m:rPr>
          <w:rPr>
            <w:rFonts w:ascii="Cambria Math" w:hAnsi="Cambria Math"/>
            <w:szCs w:val="26"/>
          </w:rPr>
          <m:t>δ</m:t>
        </m:r>
      </m:oMath>
      <w:r w:rsidR="009E7122" w:rsidRPr="004F7790">
        <w:rPr>
          <w:rFonts w:cstheme="majorHAnsi"/>
          <w:szCs w:val="26"/>
          <w:vertAlign w:val="subscript"/>
        </w:rPr>
        <w:t xml:space="preserve"> </w:t>
      </w:r>
      <w:r w:rsidR="00CA37DA" w:rsidRPr="004F7790">
        <w:rPr>
          <w:rFonts w:cstheme="majorHAnsi"/>
          <w:szCs w:val="26"/>
          <w:vertAlign w:val="subscript"/>
        </w:rPr>
        <w:t>2</w:t>
      </w:r>
      <w:r w:rsidR="009E7122">
        <w:rPr>
          <w:rFonts w:cstheme="majorHAnsi"/>
          <w:szCs w:val="26"/>
        </w:rPr>
        <w:t xml:space="preserve">, </w:t>
      </w:r>
      <w:r w:rsidR="009E7122">
        <w:rPr>
          <w:rFonts w:cstheme="majorHAnsi"/>
          <w:szCs w:val="26"/>
          <w:lang w:val="en-US"/>
        </w:rPr>
        <w:t xml:space="preserve">… </w:t>
      </w:r>
      <m:oMath>
        <m:r>
          <m:rPr>
            <m:sty m:val="bi"/>
          </m:rPr>
          <w:rPr>
            <w:rFonts w:ascii="Cambria Math" w:hAnsi="Cambria Math"/>
            <w:szCs w:val="26"/>
          </w:rPr>
          <m:t>δ</m:t>
        </m:r>
      </m:oMath>
      <w:r w:rsidR="009E7122" w:rsidRPr="004F7790">
        <w:rPr>
          <w:rFonts w:cstheme="majorHAnsi"/>
          <w:szCs w:val="26"/>
          <w:vertAlign w:val="subscript"/>
        </w:rPr>
        <w:t xml:space="preserve"> </w:t>
      </w:r>
      <w:r w:rsidR="009E7122">
        <w:rPr>
          <w:rFonts w:cstheme="majorHAnsi"/>
          <w:szCs w:val="26"/>
          <w:vertAlign w:val="subscript"/>
        </w:rPr>
        <w:t>6</w:t>
      </w:r>
      <w:r w:rsidR="009E7122">
        <w:rPr>
          <w:rFonts w:cstheme="majorHAnsi"/>
          <w:szCs w:val="26"/>
        </w:rPr>
        <w:t xml:space="preserve"> </w:t>
      </w:r>
      <w:r w:rsidRPr="004F7790">
        <w:rPr>
          <w:rFonts w:cstheme="majorHAnsi"/>
          <w:szCs w:val="26"/>
        </w:rPr>
        <w:t xml:space="preserve"> hệ số hồi quy đo lường mức thay đổi củ</w:t>
      </w:r>
      <w:r w:rsidR="00CF35AA">
        <w:rPr>
          <w:rFonts w:cstheme="majorHAnsi"/>
          <w:szCs w:val="26"/>
        </w:rPr>
        <w:t>a FRQ</w:t>
      </w:r>
      <w:r w:rsidRPr="004F7790">
        <w:rPr>
          <w:rFonts w:cstheme="majorHAnsi"/>
          <w:szCs w:val="26"/>
        </w:rPr>
        <w:t xml:space="preserve"> trên một đơn vị thay đổi của biến độc lập khi mà giá trị của các biến độc lập khác là không đổ</w:t>
      </w:r>
      <w:r w:rsidR="002F3101" w:rsidRPr="004F7790">
        <w:rPr>
          <w:rFonts w:cstheme="majorHAnsi"/>
          <w:szCs w:val="26"/>
        </w:rPr>
        <w:t xml:space="preserve">i; </w:t>
      </w:r>
      <m:oMath>
        <m:sSub>
          <m:sSubPr>
            <m:ctrlPr>
              <w:rPr>
                <w:rFonts w:ascii="Cambria Math" w:hAnsi="Cambria Math"/>
                <w:b/>
                <w:szCs w:val="26"/>
              </w:rPr>
            </m:ctrlPr>
          </m:sSubPr>
          <m:e>
            <m:r>
              <m:rPr>
                <m:sty m:val="bi"/>
              </m:rPr>
              <w:rPr>
                <w:rFonts w:ascii="Cambria Math" w:hAnsi="Cambria Math"/>
                <w:szCs w:val="26"/>
              </w:rPr>
              <m:t>ε</m:t>
            </m:r>
          </m:e>
          <m:sub>
            <m:r>
              <m:rPr>
                <m:sty m:val="bi"/>
              </m:rPr>
              <w:rPr>
                <w:rFonts w:ascii="Cambria Math" w:hAnsi="Cambria Math"/>
                <w:szCs w:val="26"/>
              </w:rPr>
              <m:t>it</m:t>
            </m:r>
          </m:sub>
        </m:sSub>
      </m:oMath>
      <w:r w:rsidRPr="004F7790">
        <w:rPr>
          <w:rFonts w:cstheme="majorHAnsi"/>
          <w:szCs w:val="26"/>
        </w:rPr>
        <w:t xml:space="preserve"> </w:t>
      </w:r>
      <w:r w:rsidR="009E7122">
        <w:rPr>
          <w:rFonts w:cstheme="majorHAnsi"/>
          <w:szCs w:val="26"/>
          <w:lang w:val="en-US"/>
        </w:rPr>
        <w:t>–</w:t>
      </w:r>
      <w:r w:rsidRPr="004F7790">
        <w:rPr>
          <w:rFonts w:cstheme="majorHAnsi"/>
          <w:szCs w:val="26"/>
        </w:rPr>
        <w:t xml:space="preserve"> </w:t>
      </w:r>
      <w:r w:rsidR="009E7122">
        <w:rPr>
          <w:rFonts w:cstheme="majorHAnsi"/>
          <w:szCs w:val="26"/>
          <w:lang w:val="en-US"/>
        </w:rPr>
        <w:t xml:space="preserve">là </w:t>
      </w:r>
      <w:r w:rsidRPr="004F7790">
        <w:rPr>
          <w:rFonts w:cstheme="majorHAnsi"/>
          <w:szCs w:val="26"/>
        </w:rPr>
        <w:t>sai số ngẫu nhiên</w:t>
      </w:r>
      <w:r w:rsidR="00954453" w:rsidRPr="004F7790">
        <w:rPr>
          <w:rFonts w:cstheme="majorHAnsi"/>
          <w:szCs w:val="26"/>
          <w:lang w:val="en-US"/>
        </w:rPr>
        <w:t>.</w:t>
      </w:r>
      <w:r w:rsidR="009E7122">
        <w:rPr>
          <w:rFonts w:cstheme="majorHAnsi"/>
          <w:szCs w:val="26"/>
          <w:lang w:val="en-US"/>
        </w:rPr>
        <w:t xml:space="preserve"> </w:t>
      </w:r>
    </w:p>
    <w:p w14:paraId="349B185C" w14:textId="77777777" w:rsidR="00DC25C0" w:rsidRPr="00341848" w:rsidRDefault="00DC25C0" w:rsidP="00361353">
      <w:pPr>
        <w:pStyle w:val="ListParagraph"/>
        <w:numPr>
          <w:ilvl w:val="0"/>
          <w:numId w:val="1"/>
        </w:numPr>
        <w:spacing w:after="0" w:line="360" w:lineRule="auto"/>
        <w:ind w:left="0" w:firstLine="0"/>
        <w:rPr>
          <w:rFonts w:cstheme="majorHAnsi"/>
          <w:b/>
          <w:szCs w:val="26"/>
        </w:rPr>
      </w:pPr>
      <w:r w:rsidRPr="00341848">
        <w:rPr>
          <w:rFonts w:cstheme="majorHAnsi"/>
          <w:b/>
          <w:szCs w:val="26"/>
          <w:lang w:val="en-US"/>
        </w:rPr>
        <w:t>K</w:t>
      </w:r>
      <w:r w:rsidR="002F3101" w:rsidRPr="00341848">
        <w:rPr>
          <w:rFonts w:cstheme="majorHAnsi"/>
          <w:b/>
          <w:szCs w:val="26"/>
          <w:lang w:val="en-US"/>
        </w:rPr>
        <w:t>ết quả nghiên cứu</w:t>
      </w:r>
    </w:p>
    <w:p w14:paraId="3D023ECA" w14:textId="77777777" w:rsidR="00DC25C0" w:rsidRPr="00341848" w:rsidRDefault="004742AC" w:rsidP="00361353">
      <w:pPr>
        <w:pStyle w:val="ListParagraph"/>
        <w:numPr>
          <w:ilvl w:val="1"/>
          <w:numId w:val="1"/>
        </w:numPr>
        <w:spacing w:after="0" w:line="360" w:lineRule="auto"/>
        <w:ind w:left="0" w:firstLine="0"/>
        <w:rPr>
          <w:rFonts w:cstheme="majorHAnsi"/>
          <w:b/>
          <w:szCs w:val="26"/>
        </w:rPr>
      </w:pPr>
      <w:r w:rsidRPr="00341848">
        <w:rPr>
          <w:rFonts w:cstheme="majorHAnsi"/>
          <w:b/>
          <w:szCs w:val="26"/>
        </w:rPr>
        <w:t>Thống kê mô tả</w:t>
      </w:r>
    </w:p>
    <w:p w14:paraId="1A2F9C28" w14:textId="77777777" w:rsidR="00A90BA2" w:rsidRPr="00341848" w:rsidRDefault="00954453" w:rsidP="00361353">
      <w:pPr>
        <w:spacing w:after="0" w:line="360" w:lineRule="auto"/>
        <w:rPr>
          <w:rFonts w:cstheme="majorHAnsi"/>
          <w:szCs w:val="26"/>
          <w:lang w:val="en-US"/>
        </w:rPr>
      </w:pPr>
      <w:r w:rsidRPr="00341848">
        <w:rPr>
          <w:rFonts w:cstheme="majorHAnsi"/>
          <w:szCs w:val="26"/>
          <w:lang w:val="en-US"/>
        </w:rPr>
        <w:t>Thống kê mô tả các biến nghiên cứu được trình bày ở bảng 2.</w:t>
      </w:r>
    </w:p>
    <w:p w14:paraId="2F867D07" w14:textId="77777777" w:rsidR="00A90BA2" w:rsidRDefault="00A90BA2" w:rsidP="00361353">
      <w:pPr>
        <w:pStyle w:val="Caption"/>
        <w:tabs>
          <w:tab w:val="left" w:pos="360"/>
        </w:tabs>
        <w:spacing w:after="0" w:line="360" w:lineRule="auto"/>
        <w:rPr>
          <w:rFonts w:asciiTheme="majorHAnsi" w:hAnsiTheme="majorHAnsi" w:cstheme="majorHAnsi"/>
          <w:iCs w:val="0"/>
          <w:color w:val="auto"/>
          <w:szCs w:val="26"/>
          <w:lang w:val="tr-TR"/>
        </w:rPr>
      </w:pPr>
      <w:bookmarkStart w:id="0" w:name="_Toc447522095"/>
      <w:r w:rsidRPr="00341848">
        <w:rPr>
          <w:rFonts w:asciiTheme="majorHAnsi" w:hAnsiTheme="majorHAnsi" w:cstheme="majorHAnsi"/>
          <w:color w:val="auto"/>
          <w:szCs w:val="26"/>
          <w:lang w:val="tr-TR"/>
        </w:rPr>
        <w:t>Bảng</w:t>
      </w:r>
      <w:r w:rsidR="00064C63" w:rsidRPr="00341848">
        <w:rPr>
          <w:rFonts w:asciiTheme="majorHAnsi" w:hAnsiTheme="majorHAnsi" w:cstheme="majorHAnsi"/>
          <w:color w:val="auto"/>
          <w:szCs w:val="26"/>
          <w:lang w:val="tr-TR"/>
        </w:rPr>
        <w:t xml:space="preserve"> </w:t>
      </w:r>
      <w:r w:rsidR="00C01FAF" w:rsidRPr="00341848">
        <w:rPr>
          <w:rFonts w:asciiTheme="majorHAnsi" w:hAnsiTheme="majorHAnsi" w:cstheme="majorHAnsi"/>
          <w:color w:val="auto"/>
          <w:szCs w:val="26"/>
          <w:lang w:val="tr-TR"/>
        </w:rPr>
        <w:t>2</w:t>
      </w:r>
      <w:r w:rsidRPr="00341848">
        <w:rPr>
          <w:rFonts w:asciiTheme="majorHAnsi" w:hAnsiTheme="majorHAnsi" w:cstheme="majorHAnsi"/>
          <w:iCs w:val="0"/>
          <w:color w:val="auto"/>
          <w:szCs w:val="26"/>
          <w:lang w:val="tr-TR"/>
        </w:rPr>
        <w:t xml:space="preserve">: </w:t>
      </w:r>
      <w:r w:rsidR="00954453" w:rsidRPr="00341848">
        <w:rPr>
          <w:rFonts w:asciiTheme="majorHAnsi" w:hAnsiTheme="majorHAnsi" w:cstheme="majorHAnsi"/>
          <w:iCs w:val="0"/>
          <w:color w:val="auto"/>
          <w:szCs w:val="26"/>
          <w:lang w:val="tr-TR"/>
        </w:rPr>
        <w:t>T</w:t>
      </w:r>
      <w:r w:rsidRPr="00341848">
        <w:rPr>
          <w:rFonts w:asciiTheme="majorHAnsi" w:hAnsiTheme="majorHAnsi" w:cstheme="majorHAnsi"/>
          <w:iCs w:val="0"/>
          <w:color w:val="auto"/>
          <w:szCs w:val="26"/>
          <w:lang w:val="tr-TR"/>
        </w:rPr>
        <w:t>hống kê mô tả các biến</w:t>
      </w:r>
      <w:bookmarkEnd w:id="0"/>
      <w:r w:rsidRPr="00341848">
        <w:rPr>
          <w:rFonts w:asciiTheme="majorHAnsi" w:hAnsiTheme="majorHAnsi" w:cstheme="majorHAnsi"/>
          <w:iCs w:val="0"/>
          <w:color w:val="auto"/>
          <w:szCs w:val="26"/>
          <w:lang w:val="tr-TR"/>
        </w:rPr>
        <w:t xml:space="preserve"> </w:t>
      </w:r>
      <w:r w:rsidR="00064C63" w:rsidRPr="00341848">
        <w:rPr>
          <w:rFonts w:asciiTheme="majorHAnsi" w:hAnsiTheme="majorHAnsi" w:cstheme="majorHAnsi"/>
          <w:iCs w:val="0"/>
          <w:color w:val="auto"/>
          <w:szCs w:val="26"/>
          <w:lang w:val="tr-TR"/>
        </w:rPr>
        <w:t>nghiên cứu</w:t>
      </w:r>
    </w:p>
    <w:tbl>
      <w:tblPr>
        <w:tblStyle w:val="TableGrid"/>
        <w:tblW w:w="0" w:type="auto"/>
        <w:jc w:val="center"/>
        <w:tblLook w:val="04A0" w:firstRow="1" w:lastRow="0" w:firstColumn="1" w:lastColumn="0" w:noHBand="0" w:noVBand="1"/>
      </w:tblPr>
      <w:tblGrid>
        <w:gridCol w:w="1349"/>
        <w:gridCol w:w="1494"/>
        <w:gridCol w:w="1544"/>
        <w:gridCol w:w="1867"/>
        <w:gridCol w:w="1390"/>
        <w:gridCol w:w="1544"/>
      </w:tblGrid>
      <w:tr w:rsidR="006541FC" w:rsidRPr="00AD760C" w14:paraId="6C904BBF" w14:textId="77777777" w:rsidTr="00AD760C">
        <w:trPr>
          <w:trHeight w:val="355"/>
          <w:jc w:val="center"/>
        </w:trPr>
        <w:tc>
          <w:tcPr>
            <w:tcW w:w="1349" w:type="dxa"/>
            <w:shd w:val="clear" w:color="auto" w:fill="E7E6E6" w:themeFill="background2"/>
            <w:noWrap/>
            <w:hideMark/>
          </w:tcPr>
          <w:p w14:paraId="3A9DEFE1" w14:textId="77777777" w:rsidR="006541FC" w:rsidRPr="00AD760C" w:rsidRDefault="006541FC" w:rsidP="006541FC">
            <w:pPr>
              <w:rPr>
                <w:b/>
                <w:bCs/>
                <w:sz w:val="24"/>
              </w:rPr>
            </w:pPr>
            <w:r w:rsidRPr="00AD760C">
              <w:rPr>
                <w:b/>
                <w:bCs/>
                <w:sz w:val="24"/>
              </w:rPr>
              <w:t xml:space="preserve">Biến </w:t>
            </w:r>
          </w:p>
        </w:tc>
        <w:tc>
          <w:tcPr>
            <w:tcW w:w="1494" w:type="dxa"/>
            <w:shd w:val="clear" w:color="auto" w:fill="E7E6E6" w:themeFill="background2"/>
            <w:noWrap/>
            <w:hideMark/>
          </w:tcPr>
          <w:p w14:paraId="58085777" w14:textId="77777777" w:rsidR="006541FC" w:rsidRPr="00AD760C" w:rsidRDefault="006541FC" w:rsidP="006541FC">
            <w:pPr>
              <w:rPr>
                <w:b/>
                <w:bCs/>
                <w:sz w:val="24"/>
              </w:rPr>
            </w:pPr>
            <w:r w:rsidRPr="00AD760C">
              <w:rPr>
                <w:b/>
                <w:bCs/>
                <w:sz w:val="24"/>
              </w:rPr>
              <w:t>Số quan sát</w:t>
            </w:r>
          </w:p>
        </w:tc>
        <w:tc>
          <w:tcPr>
            <w:tcW w:w="1544" w:type="dxa"/>
            <w:shd w:val="clear" w:color="auto" w:fill="E7E6E6" w:themeFill="background2"/>
            <w:noWrap/>
            <w:hideMark/>
          </w:tcPr>
          <w:p w14:paraId="53106112" w14:textId="77777777" w:rsidR="006541FC" w:rsidRPr="00AD760C" w:rsidRDefault="006541FC" w:rsidP="006541FC">
            <w:pPr>
              <w:rPr>
                <w:b/>
                <w:bCs/>
                <w:sz w:val="24"/>
              </w:rPr>
            </w:pPr>
            <w:r w:rsidRPr="00AD760C">
              <w:rPr>
                <w:b/>
                <w:bCs/>
                <w:sz w:val="24"/>
              </w:rPr>
              <w:t>Trung bình</w:t>
            </w:r>
          </w:p>
        </w:tc>
        <w:tc>
          <w:tcPr>
            <w:tcW w:w="1867" w:type="dxa"/>
            <w:shd w:val="clear" w:color="auto" w:fill="E7E6E6" w:themeFill="background2"/>
            <w:noWrap/>
            <w:hideMark/>
          </w:tcPr>
          <w:p w14:paraId="3668DE82" w14:textId="77777777" w:rsidR="006541FC" w:rsidRPr="00AD760C" w:rsidRDefault="006541FC" w:rsidP="006541FC">
            <w:pPr>
              <w:rPr>
                <w:b/>
                <w:bCs/>
                <w:sz w:val="24"/>
              </w:rPr>
            </w:pPr>
            <w:r w:rsidRPr="00AD760C">
              <w:rPr>
                <w:b/>
                <w:bCs/>
                <w:sz w:val="24"/>
              </w:rPr>
              <w:t>Độ lệch chuẩn</w:t>
            </w:r>
          </w:p>
        </w:tc>
        <w:tc>
          <w:tcPr>
            <w:tcW w:w="1390" w:type="dxa"/>
            <w:shd w:val="clear" w:color="auto" w:fill="E7E6E6" w:themeFill="background2"/>
            <w:noWrap/>
            <w:hideMark/>
          </w:tcPr>
          <w:p w14:paraId="702CFB70" w14:textId="77777777" w:rsidR="006541FC" w:rsidRPr="00AD760C" w:rsidRDefault="006541FC" w:rsidP="006541FC">
            <w:pPr>
              <w:rPr>
                <w:b/>
                <w:bCs/>
                <w:sz w:val="24"/>
              </w:rPr>
            </w:pPr>
            <w:r w:rsidRPr="00AD760C">
              <w:rPr>
                <w:b/>
                <w:bCs/>
                <w:sz w:val="24"/>
              </w:rPr>
              <w:t>Nhỏ nhất</w:t>
            </w:r>
          </w:p>
        </w:tc>
        <w:tc>
          <w:tcPr>
            <w:tcW w:w="1544" w:type="dxa"/>
            <w:shd w:val="clear" w:color="auto" w:fill="E7E6E6" w:themeFill="background2"/>
            <w:noWrap/>
            <w:hideMark/>
          </w:tcPr>
          <w:p w14:paraId="08B6EC34" w14:textId="77777777" w:rsidR="006541FC" w:rsidRPr="00AD760C" w:rsidRDefault="006541FC" w:rsidP="006541FC">
            <w:pPr>
              <w:rPr>
                <w:b/>
                <w:bCs/>
                <w:sz w:val="24"/>
              </w:rPr>
            </w:pPr>
            <w:r w:rsidRPr="00AD760C">
              <w:rPr>
                <w:b/>
                <w:bCs/>
                <w:sz w:val="24"/>
              </w:rPr>
              <w:t>Lớn nhất</w:t>
            </w:r>
          </w:p>
        </w:tc>
      </w:tr>
      <w:tr w:rsidR="00332006" w:rsidRPr="006541FC" w14:paraId="1E6CEC55" w14:textId="77777777" w:rsidTr="008C0C3A">
        <w:trPr>
          <w:trHeight w:val="309"/>
          <w:jc w:val="center"/>
        </w:trPr>
        <w:tc>
          <w:tcPr>
            <w:tcW w:w="1349" w:type="dxa"/>
            <w:noWrap/>
            <w:hideMark/>
          </w:tcPr>
          <w:p w14:paraId="76B6DBD0" w14:textId="251DB3D2" w:rsidR="00332006" w:rsidRPr="006541FC" w:rsidRDefault="00F05FCE" w:rsidP="00332006">
            <w:pPr>
              <w:rPr>
                <w:sz w:val="28"/>
              </w:rPr>
            </w:pPr>
            <w:r>
              <w:rPr>
                <w:sz w:val="28"/>
              </w:rPr>
              <w:t>FRQ</w:t>
            </w:r>
          </w:p>
        </w:tc>
        <w:tc>
          <w:tcPr>
            <w:tcW w:w="1494" w:type="dxa"/>
            <w:noWrap/>
            <w:hideMark/>
          </w:tcPr>
          <w:p w14:paraId="601BBD76" w14:textId="77777777" w:rsidR="00332006" w:rsidRPr="006541FC" w:rsidRDefault="00332006" w:rsidP="00332006">
            <w:pPr>
              <w:rPr>
                <w:sz w:val="28"/>
              </w:rPr>
            </w:pPr>
            <w:r w:rsidRPr="006541FC">
              <w:rPr>
                <w:sz w:val="28"/>
              </w:rPr>
              <w:t>1,953</w:t>
            </w:r>
          </w:p>
        </w:tc>
        <w:tc>
          <w:tcPr>
            <w:tcW w:w="1544" w:type="dxa"/>
            <w:noWrap/>
            <w:vAlign w:val="center"/>
            <w:hideMark/>
          </w:tcPr>
          <w:p w14:paraId="23403E4C" w14:textId="25252146" w:rsidR="00332006" w:rsidRPr="006541FC" w:rsidRDefault="00332006" w:rsidP="00332006">
            <w:pPr>
              <w:rPr>
                <w:sz w:val="28"/>
              </w:rPr>
            </w:pPr>
            <w:r w:rsidRPr="00332006">
              <w:rPr>
                <w:sz w:val="28"/>
              </w:rPr>
              <w:t>-0.0895</w:t>
            </w:r>
          </w:p>
        </w:tc>
        <w:tc>
          <w:tcPr>
            <w:tcW w:w="1867" w:type="dxa"/>
            <w:noWrap/>
            <w:vAlign w:val="center"/>
            <w:hideMark/>
          </w:tcPr>
          <w:p w14:paraId="72A2A8B2" w14:textId="1AAF5BDF" w:rsidR="00332006" w:rsidRPr="006541FC" w:rsidRDefault="00332006" w:rsidP="00332006">
            <w:pPr>
              <w:rPr>
                <w:sz w:val="28"/>
              </w:rPr>
            </w:pPr>
            <w:r w:rsidRPr="00332006">
              <w:rPr>
                <w:sz w:val="28"/>
              </w:rPr>
              <w:t>-1.1</w:t>
            </w:r>
          </w:p>
        </w:tc>
        <w:tc>
          <w:tcPr>
            <w:tcW w:w="1390" w:type="dxa"/>
            <w:noWrap/>
            <w:vAlign w:val="center"/>
            <w:hideMark/>
          </w:tcPr>
          <w:p w14:paraId="652EB29E" w14:textId="152B64CD" w:rsidR="00332006" w:rsidRPr="003D1741" w:rsidRDefault="003D1741" w:rsidP="003D1741">
            <w:pPr>
              <w:rPr>
                <w:sz w:val="28"/>
                <w:vertAlign w:val="superscript"/>
                <w:lang w:val="en-US"/>
              </w:rPr>
            </w:pPr>
            <w:r>
              <w:rPr>
                <w:sz w:val="28"/>
              </w:rPr>
              <w:t>-3.68*10</w:t>
            </w:r>
            <w:r>
              <w:rPr>
                <w:sz w:val="28"/>
                <w:vertAlign w:val="superscript"/>
                <w:lang w:val="en-US"/>
              </w:rPr>
              <w:t>-6</w:t>
            </w:r>
          </w:p>
        </w:tc>
        <w:tc>
          <w:tcPr>
            <w:tcW w:w="1544" w:type="dxa"/>
            <w:noWrap/>
            <w:vAlign w:val="center"/>
            <w:hideMark/>
          </w:tcPr>
          <w:p w14:paraId="4B873E46" w14:textId="45A810D4" w:rsidR="00332006" w:rsidRPr="006541FC" w:rsidRDefault="00332006" w:rsidP="00332006">
            <w:pPr>
              <w:rPr>
                <w:sz w:val="28"/>
              </w:rPr>
            </w:pPr>
            <w:r w:rsidRPr="00332006">
              <w:rPr>
                <w:sz w:val="28"/>
              </w:rPr>
              <w:t>0.114</w:t>
            </w:r>
          </w:p>
        </w:tc>
      </w:tr>
      <w:tr w:rsidR="006541FC" w:rsidRPr="006541FC" w14:paraId="0FF5649D" w14:textId="77777777" w:rsidTr="006541FC">
        <w:trPr>
          <w:trHeight w:val="309"/>
          <w:jc w:val="center"/>
        </w:trPr>
        <w:tc>
          <w:tcPr>
            <w:tcW w:w="1349" w:type="dxa"/>
            <w:noWrap/>
            <w:hideMark/>
          </w:tcPr>
          <w:p w14:paraId="53B337BE" w14:textId="1B9FB789" w:rsidR="006541FC" w:rsidRPr="006541FC" w:rsidRDefault="006541FC">
            <w:pPr>
              <w:rPr>
                <w:sz w:val="28"/>
              </w:rPr>
            </w:pPr>
            <w:r w:rsidRPr="006541FC">
              <w:rPr>
                <w:sz w:val="28"/>
              </w:rPr>
              <w:t>Altmanz</w:t>
            </w:r>
          </w:p>
        </w:tc>
        <w:tc>
          <w:tcPr>
            <w:tcW w:w="1494" w:type="dxa"/>
            <w:noWrap/>
            <w:hideMark/>
          </w:tcPr>
          <w:p w14:paraId="1D6E5D13" w14:textId="77777777" w:rsidR="006541FC" w:rsidRPr="006541FC" w:rsidRDefault="006541FC" w:rsidP="006541FC">
            <w:pPr>
              <w:rPr>
                <w:sz w:val="28"/>
              </w:rPr>
            </w:pPr>
            <w:r w:rsidRPr="006541FC">
              <w:rPr>
                <w:sz w:val="28"/>
              </w:rPr>
              <w:t>1,953</w:t>
            </w:r>
          </w:p>
        </w:tc>
        <w:tc>
          <w:tcPr>
            <w:tcW w:w="1544" w:type="dxa"/>
            <w:noWrap/>
            <w:hideMark/>
          </w:tcPr>
          <w:p w14:paraId="2DF56EB5" w14:textId="77777777" w:rsidR="006541FC" w:rsidRPr="006541FC" w:rsidRDefault="006541FC" w:rsidP="006541FC">
            <w:pPr>
              <w:rPr>
                <w:sz w:val="28"/>
              </w:rPr>
            </w:pPr>
            <w:r w:rsidRPr="006541FC">
              <w:rPr>
                <w:sz w:val="28"/>
              </w:rPr>
              <w:t>1.293388</w:t>
            </w:r>
          </w:p>
        </w:tc>
        <w:tc>
          <w:tcPr>
            <w:tcW w:w="1867" w:type="dxa"/>
            <w:noWrap/>
            <w:hideMark/>
          </w:tcPr>
          <w:p w14:paraId="3BA4D033" w14:textId="77777777" w:rsidR="006541FC" w:rsidRPr="006541FC" w:rsidRDefault="006541FC" w:rsidP="006541FC">
            <w:pPr>
              <w:rPr>
                <w:sz w:val="28"/>
              </w:rPr>
            </w:pPr>
            <w:r w:rsidRPr="006541FC">
              <w:rPr>
                <w:sz w:val="28"/>
              </w:rPr>
              <w:t>2.329521</w:t>
            </w:r>
          </w:p>
        </w:tc>
        <w:tc>
          <w:tcPr>
            <w:tcW w:w="1390" w:type="dxa"/>
            <w:noWrap/>
            <w:hideMark/>
          </w:tcPr>
          <w:p w14:paraId="3CD40214" w14:textId="77777777" w:rsidR="006541FC" w:rsidRPr="006541FC" w:rsidRDefault="006541FC" w:rsidP="006541FC">
            <w:pPr>
              <w:rPr>
                <w:sz w:val="28"/>
              </w:rPr>
            </w:pPr>
            <w:r w:rsidRPr="006541FC">
              <w:rPr>
                <w:sz w:val="28"/>
              </w:rPr>
              <w:t>0.0019</w:t>
            </w:r>
          </w:p>
        </w:tc>
        <w:tc>
          <w:tcPr>
            <w:tcW w:w="1544" w:type="dxa"/>
            <w:noWrap/>
            <w:hideMark/>
          </w:tcPr>
          <w:p w14:paraId="2C609308" w14:textId="77777777" w:rsidR="006541FC" w:rsidRPr="006541FC" w:rsidRDefault="006541FC" w:rsidP="006541FC">
            <w:pPr>
              <w:rPr>
                <w:sz w:val="28"/>
              </w:rPr>
            </w:pPr>
            <w:r w:rsidRPr="006541FC">
              <w:rPr>
                <w:sz w:val="28"/>
              </w:rPr>
              <w:t>23.5173</w:t>
            </w:r>
          </w:p>
        </w:tc>
      </w:tr>
      <w:tr w:rsidR="006541FC" w:rsidRPr="006541FC" w14:paraId="23EC2AAF" w14:textId="77777777" w:rsidTr="006541FC">
        <w:trPr>
          <w:trHeight w:val="309"/>
          <w:jc w:val="center"/>
        </w:trPr>
        <w:tc>
          <w:tcPr>
            <w:tcW w:w="1349" w:type="dxa"/>
            <w:noWrap/>
            <w:hideMark/>
          </w:tcPr>
          <w:p w14:paraId="5421922E" w14:textId="0B07428F" w:rsidR="006541FC" w:rsidRPr="006541FC" w:rsidRDefault="006541FC">
            <w:pPr>
              <w:rPr>
                <w:sz w:val="28"/>
              </w:rPr>
            </w:pPr>
            <w:r w:rsidRPr="006541FC">
              <w:rPr>
                <w:sz w:val="28"/>
              </w:rPr>
              <w:t>FA</w:t>
            </w:r>
          </w:p>
        </w:tc>
        <w:tc>
          <w:tcPr>
            <w:tcW w:w="1494" w:type="dxa"/>
            <w:noWrap/>
            <w:hideMark/>
          </w:tcPr>
          <w:p w14:paraId="26F1E2ED" w14:textId="77777777" w:rsidR="006541FC" w:rsidRPr="006541FC" w:rsidRDefault="006541FC" w:rsidP="006541FC">
            <w:pPr>
              <w:rPr>
                <w:sz w:val="28"/>
              </w:rPr>
            </w:pPr>
            <w:r w:rsidRPr="006541FC">
              <w:rPr>
                <w:sz w:val="28"/>
              </w:rPr>
              <w:t>1,953</w:t>
            </w:r>
          </w:p>
        </w:tc>
        <w:tc>
          <w:tcPr>
            <w:tcW w:w="1544" w:type="dxa"/>
            <w:noWrap/>
            <w:hideMark/>
          </w:tcPr>
          <w:p w14:paraId="289B6D60" w14:textId="77777777" w:rsidR="006541FC" w:rsidRPr="006541FC" w:rsidRDefault="006541FC" w:rsidP="006541FC">
            <w:pPr>
              <w:rPr>
                <w:sz w:val="28"/>
              </w:rPr>
            </w:pPr>
            <w:r w:rsidRPr="006541FC">
              <w:rPr>
                <w:sz w:val="28"/>
              </w:rPr>
              <w:t>0.2104588</w:t>
            </w:r>
          </w:p>
        </w:tc>
        <w:tc>
          <w:tcPr>
            <w:tcW w:w="1867" w:type="dxa"/>
            <w:noWrap/>
            <w:hideMark/>
          </w:tcPr>
          <w:p w14:paraId="6DBFB618" w14:textId="77777777" w:rsidR="006541FC" w:rsidRPr="006541FC" w:rsidRDefault="006541FC" w:rsidP="006541FC">
            <w:pPr>
              <w:rPr>
                <w:sz w:val="28"/>
              </w:rPr>
            </w:pPr>
            <w:r w:rsidRPr="006541FC">
              <w:rPr>
                <w:sz w:val="28"/>
              </w:rPr>
              <w:t>0.1974982</w:t>
            </w:r>
          </w:p>
        </w:tc>
        <w:tc>
          <w:tcPr>
            <w:tcW w:w="1390" w:type="dxa"/>
            <w:noWrap/>
            <w:hideMark/>
          </w:tcPr>
          <w:p w14:paraId="6EB995BA" w14:textId="77777777" w:rsidR="006541FC" w:rsidRPr="006541FC" w:rsidRDefault="006541FC" w:rsidP="006541FC">
            <w:pPr>
              <w:rPr>
                <w:sz w:val="28"/>
              </w:rPr>
            </w:pPr>
            <w:r w:rsidRPr="006541FC">
              <w:rPr>
                <w:sz w:val="28"/>
              </w:rPr>
              <w:t>0</w:t>
            </w:r>
          </w:p>
        </w:tc>
        <w:tc>
          <w:tcPr>
            <w:tcW w:w="1544" w:type="dxa"/>
            <w:noWrap/>
            <w:hideMark/>
          </w:tcPr>
          <w:p w14:paraId="60B1E6B2" w14:textId="77777777" w:rsidR="006541FC" w:rsidRPr="006541FC" w:rsidRDefault="006541FC" w:rsidP="006541FC">
            <w:pPr>
              <w:rPr>
                <w:sz w:val="28"/>
              </w:rPr>
            </w:pPr>
            <w:r w:rsidRPr="006541FC">
              <w:rPr>
                <w:sz w:val="28"/>
              </w:rPr>
              <w:t>0.9764196</w:t>
            </w:r>
          </w:p>
        </w:tc>
      </w:tr>
      <w:tr w:rsidR="006541FC" w:rsidRPr="006541FC" w14:paraId="5A41B33A" w14:textId="77777777" w:rsidTr="006541FC">
        <w:trPr>
          <w:trHeight w:val="309"/>
          <w:jc w:val="center"/>
        </w:trPr>
        <w:tc>
          <w:tcPr>
            <w:tcW w:w="1349" w:type="dxa"/>
            <w:noWrap/>
            <w:hideMark/>
          </w:tcPr>
          <w:p w14:paraId="362E4441" w14:textId="4A37B1DF" w:rsidR="006541FC" w:rsidRPr="006541FC" w:rsidRDefault="006541FC">
            <w:pPr>
              <w:rPr>
                <w:sz w:val="28"/>
              </w:rPr>
            </w:pPr>
            <w:r w:rsidRPr="006541FC">
              <w:rPr>
                <w:sz w:val="28"/>
              </w:rPr>
              <w:t>LEV</w:t>
            </w:r>
          </w:p>
        </w:tc>
        <w:tc>
          <w:tcPr>
            <w:tcW w:w="1494" w:type="dxa"/>
            <w:noWrap/>
            <w:hideMark/>
          </w:tcPr>
          <w:p w14:paraId="27FD52CC" w14:textId="77777777" w:rsidR="006541FC" w:rsidRPr="006541FC" w:rsidRDefault="006541FC" w:rsidP="006541FC">
            <w:pPr>
              <w:rPr>
                <w:sz w:val="28"/>
              </w:rPr>
            </w:pPr>
            <w:r w:rsidRPr="006541FC">
              <w:rPr>
                <w:sz w:val="28"/>
              </w:rPr>
              <w:t>1,953</w:t>
            </w:r>
          </w:p>
        </w:tc>
        <w:tc>
          <w:tcPr>
            <w:tcW w:w="1544" w:type="dxa"/>
            <w:noWrap/>
            <w:hideMark/>
          </w:tcPr>
          <w:p w14:paraId="3C5E2624" w14:textId="77777777" w:rsidR="006541FC" w:rsidRPr="006541FC" w:rsidRDefault="006541FC" w:rsidP="006541FC">
            <w:pPr>
              <w:rPr>
                <w:sz w:val="28"/>
              </w:rPr>
            </w:pPr>
            <w:r w:rsidRPr="006541FC">
              <w:rPr>
                <w:sz w:val="28"/>
              </w:rPr>
              <w:t>0.5062053</w:t>
            </w:r>
          </w:p>
        </w:tc>
        <w:tc>
          <w:tcPr>
            <w:tcW w:w="1867" w:type="dxa"/>
            <w:noWrap/>
            <w:hideMark/>
          </w:tcPr>
          <w:p w14:paraId="02E9F83E" w14:textId="77777777" w:rsidR="006541FC" w:rsidRPr="006541FC" w:rsidRDefault="006541FC" w:rsidP="006541FC">
            <w:pPr>
              <w:rPr>
                <w:sz w:val="28"/>
              </w:rPr>
            </w:pPr>
            <w:r w:rsidRPr="006541FC">
              <w:rPr>
                <w:sz w:val="28"/>
              </w:rPr>
              <w:t>0.2128694</w:t>
            </w:r>
          </w:p>
        </w:tc>
        <w:tc>
          <w:tcPr>
            <w:tcW w:w="1390" w:type="dxa"/>
            <w:noWrap/>
            <w:hideMark/>
          </w:tcPr>
          <w:p w14:paraId="64E508BC" w14:textId="77777777" w:rsidR="006541FC" w:rsidRPr="006541FC" w:rsidRDefault="006541FC" w:rsidP="006541FC">
            <w:pPr>
              <w:rPr>
                <w:sz w:val="28"/>
              </w:rPr>
            </w:pPr>
            <w:r w:rsidRPr="006541FC">
              <w:rPr>
                <w:sz w:val="28"/>
              </w:rPr>
              <w:t>0.0069</w:t>
            </w:r>
          </w:p>
        </w:tc>
        <w:tc>
          <w:tcPr>
            <w:tcW w:w="1544" w:type="dxa"/>
            <w:noWrap/>
            <w:hideMark/>
          </w:tcPr>
          <w:p w14:paraId="418D0691" w14:textId="77777777" w:rsidR="006541FC" w:rsidRPr="006541FC" w:rsidRDefault="006541FC" w:rsidP="006541FC">
            <w:pPr>
              <w:rPr>
                <w:sz w:val="28"/>
              </w:rPr>
            </w:pPr>
            <w:r w:rsidRPr="006541FC">
              <w:rPr>
                <w:sz w:val="28"/>
              </w:rPr>
              <w:t>0.9293</w:t>
            </w:r>
          </w:p>
        </w:tc>
      </w:tr>
      <w:tr w:rsidR="006541FC" w:rsidRPr="006541FC" w14:paraId="21E3D1AA" w14:textId="77777777" w:rsidTr="006541FC">
        <w:trPr>
          <w:trHeight w:val="309"/>
          <w:jc w:val="center"/>
        </w:trPr>
        <w:tc>
          <w:tcPr>
            <w:tcW w:w="1349" w:type="dxa"/>
            <w:noWrap/>
            <w:hideMark/>
          </w:tcPr>
          <w:p w14:paraId="2585AE02" w14:textId="4D69939F" w:rsidR="006541FC" w:rsidRPr="006541FC" w:rsidRDefault="006541FC">
            <w:pPr>
              <w:rPr>
                <w:sz w:val="28"/>
              </w:rPr>
            </w:pPr>
            <w:r w:rsidRPr="006541FC">
              <w:rPr>
                <w:sz w:val="28"/>
              </w:rPr>
              <w:t>ROA</w:t>
            </w:r>
          </w:p>
        </w:tc>
        <w:tc>
          <w:tcPr>
            <w:tcW w:w="1494" w:type="dxa"/>
            <w:noWrap/>
            <w:hideMark/>
          </w:tcPr>
          <w:p w14:paraId="147158D2" w14:textId="77777777" w:rsidR="006541FC" w:rsidRPr="006541FC" w:rsidRDefault="006541FC" w:rsidP="006541FC">
            <w:pPr>
              <w:rPr>
                <w:sz w:val="28"/>
              </w:rPr>
            </w:pPr>
            <w:r w:rsidRPr="006541FC">
              <w:rPr>
                <w:sz w:val="28"/>
              </w:rPr>
              <w:t>1,953</w:t>
            </w:r>
          </w:p>
        </w:tc>
        <w:tc>
          <w:tcPr>
            <w:tcW w:w="1544" w:type="dxa"/>
            <w:noWrap/>
            <w:hideMark/>
          </w:tcPr>
          <w:p w14:paraId="5B693ED0" w14:textId="77777777" w:rsidR="006541FC" w:rsidRPr="006541FC" w:rsidRDefault="006541FC" w:rsidP="006541FC">
            <w:pPr>
              <w:rPr>
                <w:sz w:val="28"/>
              </w:rPr>
            </w:pPr>
            <w:r w:rsidRPr="006541FC">
              <w:rPr>
                <w:sz w:val="28"/>
              </w:rPr>
              <w:t>0.0973414</w:t>
            </w:r>
          </w:p>
        </w:tc>
        <w:tc>
          <w:tcPr>
            <w:tcW w:w="1867" w:type="dxa"/>
            <w:noWrap/>
            <w:hideMark/>
          </w:tcPr>
          <w:p w14:paraId="6F9B9930" w14:textId="77777777" w:rsidR="006541FC" w:rsidRPr="006541FC" w:rsidRDefault="006541FC" w:rsidP="006541FC">
            <w:pPr>
              <w:rPr>
                <w:sz w:val="28"/>
              </w:rPr>
            </w:pPr>
            <w:r w:rsidRPr="006541FC">
              <w:rPr>
                <w:sz w:val="28"/>
              </w:rPr>
              <w:t>0.0803969</w:t>
            </w:r>
          </w:p>
        </w:tc>
        <w:tc>
          <w:tcPr>
            <w:tcW w:w="1390" w:type="dxa"/>
            <w:noWrap/>
            <w:hideMark/>
          </w:tcPr>
          <w:p w14:paraId="3F50A84B" w14:textId="77777777" w:rsidR="006541FC" w:rsidRPr="006541FC" w:rsidRDefault="006541FC" w:rsidP="006541FC">
            <w:pPr>
              <w:rPr>
                <w:sz w:val="28"/>
              </w:rPr>
            </w:pPr>
            <w:r w:rsidRPr="006541FC">
              <w:rPr>
                <w:sz w:val="28"/>
              </w:rPr>
              <w:t>-0.510112</w:t>
            </w:r>
          </w:p>
        </w:tc>
        <w:tc>
          <w:tcPr>
            <w:tcW w:w="1544" w:type="dxa"/>
            <w:noWrap/>
            <w:hideMark/>
          </w:tcPr>
          <w:p w14:paraId="145527C8" w14:textId="77777777" w:rsidR="006541FC" w:rsidRPr="006541FC" w:rsidRDefault="006541FC" w:rsidP="006541FC">
            <w:pPr>
              <w:rPr>
                <w:sz w:val="28"/>
              </w:rPr>
            </w:pPr>
            <w:r w:rsidRPr="006541FC">
              <w:rPr>
                <w:sz w:val="28"/>
              </w:rPr>
              <w:t>0.9970228</w:t>
            </w:r>
          </w:p>
        </w:tc>
      </w:tr>
      <w:tr w:rsidR="006541FC" w:rsidRPr="006541FC" w14:paraId="6918D596" w14:textId="77777777" w:rsidTr="006541FC">
        <w:trPr>
          <w:trHeight w:val="309"/>
          <w:jc w:val="center"/>
        </w:trPr>
        <w:tc>
          <w:tcPr>
            <w:tcW w:w="1349" w:type="dxa"/>
            <w:noWrap/>
            <w:hideMark/>
          </w:tcPr>
          <w:p w14:paraId="3BEF2E77" w14:textId="528147BC" w:rsidR="006541FC" w:rsidRPr="006541FC" w:rsidRDefault="006541FC">
            <w:pPr>
              <w:rPr>
                <w:sz w:val="28"/>
              </w:rPr>
            </w:pPr>
            <w:r w:rsidRPr="006541FC">
              <w:rPr>
                <w:sz w:val="28"/>
              </w:rPr>
              <w:lastRenderedPageBreak/>
              <w:t>SIZE</w:t>
            </w:r>
          </w:p>
        </w:tc>
        <w:tc>
          <w:tcPr>
            <w:tcW w:w="1494" w:type="dxa"/>
            <w:noWrap/>
            <w:hideMark/>
          </w:tcPr>
          <w:p w14:paraId="61D65E8D" w14:textId="77777777" w:rsidR="006541FC" w:rsidRPr="006541FC" w:rsidRDefault="006541FC" w:rsidP="006541FC">
            <w:pPr>
              <w:rPr>
                <w:sz w:val="28"/>
              </w:rPr>
            </w:pPr>
            <w:r w:rsidRPr="006541FC">
              <w:rPr>
                <w:sz w:val="28"/>
              </w:rPr>
              <w:t>1,953</w:t>
            </w:r>
          </w:p>
        </w:tc>
        <w:tc>
          <w:tcPr>
            <w:tcW w:w="1544" w:type="dxa"/>
            <w:noWrap/>
            <w:hideMark/>
          </w:tcPr>
          <w:p w14:paraId="77F62076" w14:textId="77777777" w:rsidR="006541FC" w:rsidRPr="006541FC" w:rsidRDefault="006541FC" w:rsidP="006541FC">
            <w:pPr>
              <w:rPr>
                <w:sz w:val="28"/>
              </w:rPr>
            </w:pPr>
            <w:r w:rsidRPr="006541FC">
              <w:rPr>
                <w:sz w:val="28"/>
              </w:rPr>
              <w:t>26.97891</w:t>
            </w:r>
          </w:p>
        </w:tc>
        <w:tc>
          <w:tcPr>
            <w:tcW w:w="1867" w:type="dxa"/>
            <w:noWrap/>
            <w:hideMark/>
          </w:tcPr>
          <w:p w14:paraId="38483585" w14:textId="77777777" w:rsidR="006541FC" w:rsidRPr="006541FC" w:rsidRDefault="006541FC" w:rsidP="006541FC">
            <w:pPr>
              <w:rPr>
                <w:sz w:val="28"/>
              </w:rPr>
            </w:pPr>
            <w:r w:rsidRPr="006541FC">
              <w:rPr>
                <w:sz w:val="28"/>
              </w:rPr>
              <w:t>1.396089</w:t>
            </w:r>
          </w:p>
        </w:tc>
        <w:tc>
          <w:tcPr>
            <w:tcW w:w="1390" w:type="dxa"/>
            <w:noWrap/>
            <w:hideMark/>
          </w:tcPr>
          <w:p w14:paraId="453A0376" w14:textId="77777777" w:rsidR="006541FC" w:rsidRPr="006541FC" w:rsidRDefault="006541FC" w:rsidP="006541FC">
            <w:pPr>
              <w:rPr>
                <w:sz w:val="28"/>
              </w:rPr>
            </w:pPr>
            <w:r w:rsidRPr="006541FC">
              <w:rPr>
                <w:sz w:val="28"/>
              </w:rPr>
              <w:t>23.28202</w:t>
            </w:r>
          </w:p>
        </w:tc>
        <w:tc>
          <w:tcPr>
            <w:tcW w:w="1544" w:type="dxa"/>
            <w:noWrap/>
            <w:hideMark/>
          </w:tcPr>
          <w:p w14:paraId="5DA39F08" w14:textId="77777777" w:rsidR="006541FC" w:rsidRPr="006541FC" w:rsidRDefault="006541FC" w:rsidP="006541FC">
            <w:pPr>
              <w:rPr>
                <w:sz w:val="28"/>
              </w:rPr>
            </w:pPr>
            <w:r w:rsidRPr="006541FC">
              <w:rPr>
                <w:sz w:val="28"/>
              </w:rPr>
              <w:t>30.86996</w:t>
            </w:r>
          </w:p>
        </w:tc>
      </w:tr>
      <w:tr w:rsidR="006541FC" w:rsidRPr="006541FC" w14:paraId="6E8F6A89" w14:textId="77777777" w:rsidTr="006541FC">
        <w:trPr>
          <w:trHeight w:val="309"/>
          <w:jc w:val="center"/>
        </w:trPr>
        <w:tc>
          <w:tcPr>
            <w:tcW w:w="1349" w:type="dxa"/>
            <w:noWrap/>
            <w:hideMark/>
          </w:tcPr>
          <w:p w14:paraId="78C6D9F8" w14:textId="40E307BC" w:rsidR="006541FC" w:rsidRPr="006541FC" w:rsidRDefault="006541FC">
            <w:pPr>
              <w:rPr>
                <w:sz w:val="28"/>
              </w:rPr>
            </w:pPr>
            <w:r w:rsidRPr="006541FC">
              <w:rPr>
                <w:sz w:val="28"/>
              </w:rPr>
              <w:t>WCA</w:t>
            </w:r>
          </w:p>
        </w:tc>
        <w:tc>
          <w:tcPr>
            <w:tcW w:w="1494" w:type="dxa"/>
            <w:noWrap/>
            <w:hideMark/>
          </w:tcPr>
          <w:p w14:paraId="7FA4F04F" w14:textId="77777777" w:rsidR="006541FC" w:rsidRPr="006541FC" w:rsidRDefault="006541FC" w:rsidP="006541FC">
            <w:pPr>
              <w:rPr>
                <w:sz w:val="28"/>
              </w:rPr>
            </w:pPr>
            <w:r w:rsidRPr="006541FC">
              <w:rPr>
                <w:sz w:val="28"/>
              </w:rPr>
              <w:t>1,953</w:t>
            </w:r>
          </w:p>
        </w:tc>
        <w:tc>
          <w:tcPr>
            <w:tcW w:w="1544" w:type="dxa"/>
            <w:noWrap/>
            <w:hideMark/>
          </w:tcPr>
          <w:p w14:paraId="75A3F238" w14:textId="77777777" w:rsidR="006541FC" w:rsidRPr="006541FC" w:rsidRDefault="006541FC" w:rsidP="006541FC">
            <w:pPr>
              <w:rPr>
                <w:sz w:val="28"/>
              </w:rPr>
            </w:pPr>
            <w:r w:rsidRPr="006541FC">
              <w:rPr>
                <w:sz w:val="28"/>
              </w:rPr>
              <w:t>0.0248662</w:t>
            </w:r>
          </w:p>
        </w:tc>
        <w:tc>
          <w:tcPr>
            <w:tcW w:w="1867" w:type="dxa"/>
            <w:noWrap/>
            <w:hideMark/>
          </w:tcPr>
          <w:p w14:paraId="2D90415C" w14:textId="77777777" w:rsidR="006541FC" w:rsidRPr="006541FC" w:rsidRDefault="006541FC" w:rsidP="006541FC">
            <w:pPr>
              <w:rPr>
                <w:sz w:val="28"/>
              </w:rPr>
            </w:pPr>
            <w:r w:rsidRPr="006541FC">
              <w:rPr>
                <w:sz w:val="28"/>
              </w:rPr>
              <w:t>0.1714066</w:t>
            </w:r>
          </w:p>
        </w:tc>
        <w:tc>
          <w:tcPr>
            <w:tcW w:w="1390" w:type="dxa"/>
            <w:noWrap/>
            <w:hideMark/>
          </w:tcPr>
          <w:p w14:paraId="1228395F" w14:textId="77777777" w:rsidR="006541FC" w:rsidRPr="006541FC" w:rsidRDefault="006541FC" w:rsidP="006541FC">
            <w:pPr>
              <w:rPr>
                <w:sz w:val="28"/>
              </w:rPr>
            </w:pPr>
            <w:r w:rsidRPr="006541FC">
              <w:rPr>
                <w:sz w:val="28"/>
              </w:rPr>
              <w:t>-1.826884</w:t>
            </w:r>
          </w:p>
        </w:tc>
        <w:tc>
          <w:tcPr>
            <w:tcW w:w="1544" w:type="dxa"/>
            <w:noWrap/>
            <w:hideMark/>
          </w:tcPr>
          <w:p w14:paraId="2C2DA7E9" w14:textId="77777777" w:rsidR="006541FC" w:rsidRPr="006541FC" w:rsidRDefault="006541FC" w:rsidP="006541FC">
            <w:pPr>
              <w:rPr>
                <w:sz w:val="28"/>
              </w:rPr>
            </w:pPr>
            <w:r w:rsidRPr="006541FC">
              <w:rPr>
                <w:sz w:val="28"/>
              </w:rPr>
              <w:t>1.60373</w:t>
            </w:r>
          </w:p>
        </w:tc>
      </w:tr>
    </w:tbl>
    <w:p w14:paraId="76BD7B41" w14:textId="77777777" w:rsidR="00A90BA2" w:rsidRPr="00341848" w:rsidRDefault="00A90BA2" w:rsidP="00361353">
      <w:pPr>
        <w:tabs>
          <w:tab w:val="left" w:pos="360"/>
        </w:tabs>
        <w:spacing w:after="0" w:line="360" w:lineRule="auto"/>
        <w:jc w:val="right"/>
        <w:rPr>
          <w:rFonts w:cstheme="majorHAnsi"/>
          <w:szCs w:val="26"/>
          <w:lang w:val="tr-TR"/>
        </w:rPr>
      </w:pPr>
      <w:r w:rsidRPr="00341848">
        <w:rPr>
          <w:rFonts w:cstheme="majorHAnsi"/>
          <w:szCs w:val="26"/>
          <w:lang w:val="tr-TR"/>
        </w:rPr>
        <w:t>Nguồn: Phân tích dữ liệu từ phần mềm STATA</w:t>
      </w:r>
    </w:p>
    <w:p w14:paraId="5E2E6EFD" w14:textId="77777777" w:rsidR="004742AC" w:rsidRPr="00341848" w:rsidRDefault="00D728A4" w:rsidP="00361353">
      <w:pPr>
        <w:pStyle w:val="ListParagraph"/>
        <w:numPr>
          <w:ilvl w:val="1"/>
          <w:numId w:val="1"/>
        </w:numPr>
        <w:spacing w:after="0" w:line="360" w:lineRule="auto"/>
        <w:ind w:left="0" w:firstLine="0"/>
        <w:rPr>
          <w:rFonts w:cstheme="majorHAnsi"/>
          <w:b/>
          <w:szCs w:val="26"/>
        </w:rPr>
      </w:pPr>
      <w:r w:rsidRPr="00341848">
        <w:rPr>
          <w:rFonts w:cstheme="majorHAnsi"/>
          <w:b/>
          <w:szCs w:val="26"/>
          <w:lang w:val="en-US"/>
        </w:rPr>
        <w:t>Phân tích tương quan</w:t>
      </w:r>
    </w:p>
    <w:p w14:paraId="3664BBD9" w14:textId="77777777" w:rsidR="00DA134D" w:rsidRPr="00341848" w:rsidRDefault="00DA134D" w:rsidP="00361353">
      <w:pPr>
        <w:spacing w:after="0" w:line="360" w:lineRule="auto"/>
        <w:rPr>
          <w:rFonts w:cstheme="majorHAnsi"/>
          <w:szCs w:val="26"/>
          <w:lang w:val="en-US"/>
        </w:rPr>
      </w:pPr>
      <w:r w:rsidRPr="00341848">
        <w:rPr>
          <w:rFonts w:cstheme="majorHAnsi"/>
          <w:szCs w:val="26"/>
        </w:rPr>
        <w:t>Phân tích tương quan là đo lường cường độ của quan hệ giữa hai biến và hai biến được xem là hai biến ngẫ</w:t>
      </w:r>
      <w:r w:rsidR="00C6064A" w:rsidRPr="00341848">
        <w:rPr>
          <w:rFonts w:cstheme="majorHAnsi"/>
          <w:szCs w:val="26"/>
        </w:rPr>
        <w:t>u nhiên</w:t>
      </w:r>
      <w:r w:rsidR="00C6064A" w:rsidRPr="00341848">
        <w:rPr>
          <w:rFonts w:cstheme="majorHAnsi"/>
          <w:szCs w:val="26"/>
          <w:lang w:val="en-US"/>
        </w:rPr>
        <w:t xml:space="preserve"> </w:t>
      </w:r>
      <w:r w:rsidRPr="00341848">
        <w:rPr>
          <w:rFonts w:cstheme="majorHAnsi"/>
          <w:szCs w:val="26"/>
        </w:rPr>
        <w:t>“ngang nhau” - không phân biệt biến độc lập và biến phụ thuộc.</w:t>
      </w:r>
      <w:r w:rsidR="00A40676" w:rsidRPr="00341848">
        <w:rPr>
          <w:rFonts w:cstheme="majorHAnsi"/>
          <w:szCs w:val="26"/>
          <w:lang w:val="en-US"/>
        </w:rPr>
        <w:t xml:space="preserve"> </w:t>
      </w:r>
    </w:p>
    <w:p w14:paraId="518748CD" w14:textId="694E23D8" w:rsidR="00C01FAF" w:rsidRPr="00341848" w:rsidRDefault="00C01FAF" w:rsidP="001835A9">
      <w:pPr>
        <w:spacing w:after="0" w:line="360" w:lineRule="auto"/>
        <w:rPr>
          <w:rFonts w:cstheme="majorHAnsi"/>
          <w:szCs w:val="26"/>
        </w:rPr>
      </w:pPr>
      <w:r w:rsidRPr="00341848">
        <w:rPr>
          <w:rFonts w:cstheme="majorHAnsi"/>
          <w:szCs w:val="26"/>
        </w:rPr>
        <w:t xml:space="preserve">Bảng </w:t>
      </w:r>
      <w:r w:rsidR="00C04FCF" w:rsidRPr="00341848">
        <w:rPr>
          <w:rFonts w:cstheme="majorHAnsi"/>
          <w:szCs w:val="26"/>
          <w:lang w:val="en-US"/>
        </w:rPr>
        <w:t>3</w:t>
      </w:r>
      <w:r w:rsidRPr="00341848">
        <w:rPr>
          <w:rFonts w:cstheme="majorHAnsi"/>
          <w:szCs w:val="26"/>
          <w:lang w:val="en-US"/>
        </w:rPr>
        <w:t xml:space="preserve"> </w:t>
      </w:r>
      <w:r w:rsidRPr="00341848">
        <w:rPr>
          <w:rFonts w:cstheme="majorHAnsi"/>
          <w:szCs w:val="26"/>
        </w:rPr>
        <w:t>cho thấy hệ số tương quan giữ</w:t>
      </w:r>
      <w:r w:rsidR="00AD760C">
        <w:rPr>
          <w:rFonts w:cstheme="majorHAnsi"/>
          <w:szCs w:val="26"/>
        </w:rPr>
        <w:t xml:space="preserve">a </w:t>
      </w:r>
      <w:r w:rsidR="00944BDC">
        <w:rPr>
          <w:rFonts w:cstheme="majorHAnsi"/>
          <w:szCs w:val="26"/>
          <w:lang w:val="en-US"/>
        </w:rPr>
        <w:t>chất lượng báo cáo tài chính</w:t>
      </w:r>
      <w:r w:rsidRPr="00341848">
        <w:rPr>
          <w:rFonts w:cstheme="majorHAnsi"/>
          <w:szCs w:val="26"/>
        </w:rPr>
        <w:t xml:space="preserve"> và các biến độc lập dao động từ</w:t>
      </w:r>
      <w:r w:rsidR="00107F9A" w:rsidRPr="00341848">
        <w:rPr>
          <w:rFonts w:cstheme="majorHAnsi"/>
          <w:szCs w:val="26"/>
        </w:rPr>
        <w:t xml:space="preserve"> </w:t>
      </w:r>
      <w:r w:rsidR="007D728F">
        <w:rPr>
          <w:rFonts w:cstheme="majorHAnsi"/>
          <w:szCs w:val="26"/>
        </w:rPr>
        <w:t>-0.</w:t>
      </w:r>
      <w:r w:rsidR="007D728F">
        <w:rPr>
          <w:rFonts w:cstheme="majorHAnsi"/>
          <w:szCs w:val="26"/>
          <w:lang w:val="en-US"/>
        </w:rPr>
        <w:t>358</w:t>
      </w:r>
      <w:r w:rsidR="00AD760C">
        <w:rPr>
          <w:rFonts w:cstheme="majorHAnsi"/>
          <w:szCs w:val="26"/>
          <w:lang w:val="en-US"/>
        </w:rPr>
        <w:t xml:space="preserve"> </w:t>
      </w:r>
      <w:r w:rsidRPr="00341848">
        <w:rPr>
          <w:rFonts w:cstheme="majorHAnsi"/>
          <w:szCs w:val="26"/>
        </w:rPr>
        <w:t>đến</w:t>
      </w:r>
      <w:r w:rsidR="00AD760C">
        <w:rPr>
          <w:rFonts w:cstheme="majorHAnsi"/>
          <w:szCs w:val="26"/>
          <w:lang w:val="en-US"/>
        </w:rPr>
        <w:t xml:space="preserve"> </w:t>
      </w:r>
      <w:r w:rsidR="007D728F">
        <w:rPr>
          <w:rFonts w:cstheme="majorHAnsi"/>
          <w:szCs w:val="26"/>
          <w:lang w:val="en-US"/>
        </w:rPr>
        <w:t>0.198</w:t>
      </w:r>
      <w:r w:rsidRPr="00341848">
        <w:rPr>
          <w:rFonts w:cstheme="majorHAnsi"/>
          <w:szCs w:val="26"/>
        </w:rPr>
        <w:t>. Điều này cho thấy, ngoại trừ biế</w:t>
      </w:r>
      <w:r w:rsidR="00AD760C">
        <w:rPr>
          <w:rFonts w:cstheme="majorHAnsi"/>
          <w:szCs w:val="26"/>
        </w:rPr>
        <w:t xml:space="preserve">n </w:t>
      </w:r>
      <w:r w:rsidR="00BE361C">
        <w:rPr>
          <w:rFonts w:cstheme="majorHAnsi"/>
          <w:szCs w:val="26"/>
          <w:lang w:val="en-US"/>
        </w:rPr>
        <w:t>WCA</w:t>
      </w:r>
      <w:r w:rsidRPr="00341848">
        <w:rPr>
          <w:rFonts w:cstheme="majorHAnsi"/>
          <w:szCs w:val="26"/>
        </w:rPr>
        <w:t xml:space="preserve"> có mức tương quan cao với biến phụ thuộ</w:t>
      </w:r>
      <w:r w:rsidR="00954453" w:rsidRPr="00341848">
        <w:rPr>
          <w:rFonts w:cstheme="majorHAnsi"/>
          <w:szCs w:val="26"/>
        </w:rPr>
        <w:t>c,</w:t>
      </w:r>
      <w:r w:rsidRPr="00341848">
        <w:rPr>
          <w:rFonts w:cstheme="majorHAnsi"/>
          <w:szCs w:val="26"/>
        </w:rPr>
        <w:t xml:space="preserve"> các biến độc lập khác có hệ số tương quan khá nhỏ</w:t>
      </w:r>
      <w:r w:rsidR="00CE21F7" w:rsidRPr="00341848">
        <w:rPr>
          <w:rFonts w:cstheme="majorHAnsi"/>
          <w:szCs w:val="26"/>
          <w:lang w:val="en-US"/>
        </w:rPr>
        <w:t>.</w:t>
      </w:r>
      <w:r w:rsidRPr="00341848">
        <w:rPr>
          <w:rFonts w:cstheme="majorHAnsi"/>
          <w:szCs w:val="26"/>
        </w:rPr>
        <w:t xml:space="preserve"> </w:t>
      </w:r>
    </w:p>
    <w:p w14:paraId="60E6DF1F" w14:textId="77777777" w:rsidR="00DE5F50" w:rsidRDefault="00DE5F50" w:rsidP="007907E7">
      <w:pPr>
        <w:spacing w:after="0" w:line="360" w:lineRule="auto"/>
        <w:rPr>
          <w:rFonts w:cstheme="majorHAnsi"/>
          <w:szCs w:val="26"/>
        </w:rPr>
      </w:pPr>
    </w:p>
    <w:p w14:paraId="140AA40C" w14:textId="77777777" w:rsidR="00DE5F50" w:rsidRDefault="00DE5F50" w:rsidP="007907E7">
      <w:pPr>
        <w:spacing w:after="0" w:line="360" w:lineRule="auto"/>
        <w:rPr>
          <w:rFonts w:cstheme="majorHAnsi"/>
          <w:szCs w:val="26"/>
        </w:rPr>
      </w:pPr>
    </w:p>
    <w:p w14:paraId="4E00B990" w14:textId="77777777" w:rsidR="00954453" w:rsidRDefault="00954453" w:rsidP="007907E7">
      <w:pPr>
        <w:spacing w:after="0" w:line="360" w:lineRule="auto"/>
        <w:rPr>
          <w:rFonts w:cstheme="majorHAnsi"/>
          <w:szCs w:val="26"/>
        </w:rPr>
      </w:pPr>
      <w:r w:rsidRPr="00341848">
        <w:rPr>
          <w:rFonts w:cstheme="majorHAnsi"/>
          <w:szCs w:val="26"/>
        </w:rPr>
        <w:t xml:space="preserve">Bảng </w:t>
      </w:r>
      <w:r w:rsidRPr="00341848">
        <w:rPr>
          <w:rFonts w:cstheme="majorHAnsi"/>
          <w:szCs w:val="26"/>
          <w:lang w:val="en-US"/>
        </w:rPr>
        <w:t>3</w:t>
      </w:r>
      <w:r w:rsidRPr="00341848">
        <w:rPr>
          <w:rFonts w:cstheme="majorHAnsi"/>
          <w:szCs w:val="26"/>
        </w:rPr>
        <w:t>: Ma trận hệ số tương quan giữa các biến trong mô hình</w:t>
      </w:r>
    </w:p>
    <w:tbl>
      <w:tblPr>
        <w:tblW w:w="4398" w:type="pct"/>
        <w:tblLook w:val="04A0" w:firstRow="1" w:lastRow="0" w:firstColumn="1" w:lastColumn="0" w:noHBand="0" w:noVBand="1"/>
      </w:tblPr>
      <w:tblGrid>
        <w:gridCol w:w="1155"/>
        <w:gridCol w:w="1138"/>
        <w:gridCol w:w="1243"/>
        <w:gridCol w:w="1067"/>
        <w:gridCol w:w="1018"/>
        <w:gridCol w:w="961"/>
        <w:gridCol w:w="930"/>
        <w:gridCol w:w="930"/>
      </w:tblGrid>
      <w:tr w:rsidR="00384D7E" w:rsidRPr="006541FC" w14:paraId="54B4C5DE" w14:textId="77777777" w:rsidTr="00384D7E">
        <w:trPr>
          <w:trHeight w:val="286"/>
        </w:trPr>
        <w:tc>
          <w:tcPr>
            <w:tcW w:w="684" w:type="pct"/>
            <w:tcBorders>
              <w:top w:val="nil"/>
              <w:left w:val="nil"/>
              <w:bottom w:val="nil"/>
              <w:right w:val="nil"/>
            </w:tcBorders>
            <w:shd w:val="clear" w:color="auto" w:fill="auto"/>
            <w:noWrap/>
            <w:vAlign w:val="bottom"/>
            <w:hideMark/>
          </w:tcPr>
          <w:p w14:paraId="4CE46AFD" w14:textId="77777777" w:rsidR="00384D7E" w:rsidRPr="006541FC" w:rsidRDefault="00384D7E" w:rsidP="006541FC">
            <w:pPr>
              <w:spacing w:after="0" w:line="240" w:lineRule="auto"/>
              <w:rPr>
                <w:rFonts w:ascii="Times New Roman" w:eastAsia="Times New Roman" w:hAnsi="Times New Roman" w:cs="Times New Roman"/>
                <w:color w:val="auto"/>
                <w:sz w:val="24"/>
                <w:szCs w:val="24"/>
                <w:lang w:val="en-US"/>
              </w:rPr>
            </w:pPr>
          </w:p>
        </w:tc>
        <w:tc>
          <w:tcPr>
            <w:tcW w:w="674" w:type="pct"/>
            <w:tcBorders>
              <w:top w:val="nil"/>
              <w:left w:val="nil"/>
              <w:bottom w:val="nil"/>
              <w:right w:val="nil"/>
            </w:tcBorders>
            <w:shd w:val="clear" w:color="auto" w:fill="auto"/>
            <w:noWrap/>
            <w:vAlign w:val="bottom"/>
            <w:hideMark/>
          </w:tcPr>
          <w:p w14:paraId="71E9448C" w14:textId="7F2DEC72" w:rsidR="00384D7E" w:rsidRPr="006541FC" w:rsidRDefault="00384D7E" w:rsidP="0097525B">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FRQ</w:t>
            </w:r>
          </w:p>
        </w:tc>
        <w:tc>
          <w:tcPr>
            <w:tcW w:w="736" w:type="pct"/>
            <w:tcBorders>
              <w:top w:val="nil"/>
              <w:left w:val="nil"/>
              <w:bottom w:val="nil"/>
              <w:right w:val="nil"/>
            </w:tcBorders>
            <w:shd w:val="clear" w:color="auto" w:fill="auto"/>
            <w:noWrap/>
            <w:vAlign w:val="bottom"/>
            <w:hideMark/>
          </w:tcPr>
          <w:p w14:paraId="1CF7AA7E" w14:textId="1AF0D6FC"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A</w:t>
            </w:r>
            <w:r w:rsidRPr="006541FC">
              <w:rPr>
                <w:rFonts w:ascii="Times New Roman" w:eastAsia="Times New Roman" w:hAnsi="Times New Roman" w:cs="Times New Roman"/>
                <w:color w:val="000000"/>
                <w:lang w:val="en-US"/>
              </w:rPr>
              <w:t>ltmanz</w:t>
            </w:r>
          </w:p>
        </w:tc>
        <w:tc>
          <w:tcPr>
            <w:tcW w:w="632" w:type="pct"/>
            <w:tcBorders>
              <w:top w:val="nil"/>
              <w:left w:val="nil"/>
              <w:bottom w:val="nil"/>
              <w:right w:val="nil"/>
            </w:tcBorders>
            <w:shd w:val="clear" w:color="auto" w:fill="auto"/>
            <w:noWrap/>
            <w:vAlign w:val="bottom"/>
            <w:hideMark/>
          </w:tcPr>
          <w:p w14:paraId="64547285" w14:textId="583B0C96"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FA</w:t>
            </w:r>
          </w:p>
        </w:tc>
        <w:tc>
          <w:tcPr>
            <w:tcW w:w="603" w:type="pct"/>
            <w:tcBorders>
              <w:top w:val="nil"/>
              <w:left w:val="nil"/>
              <w:bottom w:val="nil"/>
              <w:right w:val="nil"/>
            </w:tcBorders>
            <w:shd w:val="clear" w:color="auto" w:fill="auto"/>
            <w:noWrap/>
            <w:vAlign w:val="bottom"/>
            <w:hideMark/>
          </w:tcPr>
          <w:p w14:paraId="16BA54DA" w14:textId="0A799DB5"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LEV</w:t>
            </w:r>
          </w:p>
        </w:tc>
        <w:tc>
          <w:tcPr>
            <w:tcW w:w="569" w:type="pct"/>
            <w:tcBorders>
              <w:top w:val="nil"/>
              <w:left w:val="nil"/>
              <w:bottom w:val="nil"/>
              <w:right w:val="nil"/>
            </w:tcBorders>
            <w:shd w:val="clear" w:color="auto" w:fill="auto"/>
            <w:noWrap/>
            <w:vAlign w:val="bottom"/>
            <w:hideMark/>
          </w:tcPr>
          <w:p w14:paraId="0555DE54" w14:textId="058FA8C4"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ROA</w:t>
            </w:r>
          </w:p>
        </w:tc>
        <w:tc>
          <w:tcPr>
            <w:tcW w:w="551" w:type="pct"/>
            <w:tcBorders>
              <w:top w:val="nil"/>
              <w:left w:val="nil"/>
              <w:bottom w:val="nil"/>
              <w:right w:val="nil"/>
            </w:tcBorders>
            <w:shd w:val="clear" w:color="auto" w:fill="auto"/>
            <w:noWrap/>
            <w:vAlign w:val="bottom"/>
            <w:hideMark/>
          </w:tcPr>
          <w:p w14:paraId="4A3EF9A8" w14:textId="7EC5C1AB"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SIZE</w:t>
            </w:r>
          </w:p>
        </w:tc>
        <w:tc>
          <w:tcPr>
            <w:tcW w:w="551" w:type="pct"/>
            <w:tcBorders>
              <w:top w:val="nil"/>
              <w:left w:val="nil"/>
              <w:bottom w:val="nil"/>
              <w:right w:val="nil"/>
            </w:tcBorders>
            <w:shd w:val="clear" w:color="auto" w:fill="auto"/>
            <w:noWrap/>
            <w:vAlign w:val="bottom"/>
            <w:hideMark/>
          </w:tcPr>
          <w:p w14:paraId="6CFC8443" w14:textId="28B955EA"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WCA</w:t>
            </w:r>
          </w:p>
        </w:tc>
      </w:tr>
      <w:tr w:rsidR="00384D7E" w:rsidRPr="006541FC" w14:paraId="35D73624" w14:textId="77777777" w:rsidTr="00384D7E">
        <w:trPr>
          <w:trHeight w:val="286"/>
        </w:trPr>
        <w:tc>
          <w:tcPr>
            <w:tcW w:w="684" w:type="pct"/>
            <w:tcBorders>
              <w:top w:val="nil"/>
              <w:left w:val="nil"/>
              <w:bottom w:val="nil"/>
              <w:right w:val="nil"/>
            </w:tcBorders>
            <w:shd w:val="clear" w:color="auto" w:fill="auto"/>
            <w:noWrap/>
            <w:vAlign w:val="bottom"/>
            <w:hideMark/>
          </w:tcPr>
          <w:p w14:paraId="3617B568" w14:textId="3C9B0110"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FRQ</w:t>
            </w:r>
          </w:p>
        </w:tc>
        <w:tc>
          <w:tcPr>
            <w:tcW w:w="674" w:type="pct"/>
            <w:tcBorders>
              <w:top w:val="nil"/>
              <w:left w:val="nil"/>
              <w:bottom w:val="nil"/>
              <w:right w:val="nil"/>
            </w:tcBorders>
            <w:shd w:val="clear" w:color="auto" w:fill="auto"/>
            <w:noWrap/>
            <w:vAlign w:val="bottom"/>
            <w:hideMark/>
          </w:tcPr>
          <w:p w14:paraId="469735DD"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c>
          <w:tcPr>
            <w:tcW w:w="736" w:type="pct"/>
            <w:tcBorders>
              <w:top w:val="nil"/>
              <w:left w:val="nil"/>
              <w:bottom w:val="nil"/>
              <w:right w:val="nil"/>
            </w:tcBorders>
            <w:shd w:val="clear" w:color="auto" w:fill="auto"/>
            <w:noWrap/>
            <w:vAlign w:val="bottom"/>
            <w:hideMark/>
          </w:tcPr>
          <w:p w14:paraId="31FA4C62"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632" w:type="pct"/>
            <w:tcBorders>
              <w:top w:val="nil"/>
              <w:left w:val="nil"/>
              <w:bottom w:val="nil"/>
              <w:right w:val="nil"/>
            </w:tcBorders>
            <w:shd w:val="clear" w:color="auto" w:fill="auto"/>
            <w:noWrap/>
            <w:vAlign w:val="bottom"/>
            <w:hideMark/>
          </w:tcPr>
          <w:p w14:paraId="6A51110F"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603" w:type="pct"/>
            <w:tcBorders>
              <w:top w:val="nil"/>
              <w:left w:val="nil"/>
              <w:bottom w:val="nil"/>
              <w:right w:val="nil"/>
            </w:tcBorders>
            <w:shd w:val="clear" w:color="auto" w:fill="auto"/>
            <w:noWrap/>
            <w:vAlign w:val="bottom"/>
            <w:hideMark/>
          </w:tcPr>
          <w:p w14:paraId="430854E6"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69" w:type="pct"/>
            <w:tcBorders>
              <w:top w:val="nil"/>
              <w:left w:val="nil"/>
              <w:bottom w:val="nil"/>
              <w:right w:val="nil"/>
            </w:tcBorders>
            <w:shd w:val="clear" w:color="auto" w:fill="auto"/>
            <w:noWrap/>
            <w:vAlign w:val="bottom"/>
            <w:hideMark/>
          </w:tcPr>
          <w:p w14:paraId="31ADDD56"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761107A7"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065F8297"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r>
      <w:tr w:rsidR="00384D7E" w:rsidRPr="006541FC" w14:paraId="0564317E" w14:textId="77777777" w:rsidTr="00384D7E">
        <w:trPr>
          <w:trHeight w:val="286"/>
        </w:trPr>
        <w:tc>
          <w:tcPr>
            <w:tcW w:w="684" w:type="pct"/>
            <w:tcBorders>
              <w:top w:val="nil"/>
              <w:left w:val="nil"/>
              <w:bottom w:val="nil"/>
              <w:right w:val="nil"/>
            </w:tcBorders>
            <w:shd w:val="clear" w:color="auto" w:fill="auto"/>
            <w:noWrap/>
            <w:vAlign w:val="bottom"/>
            <w:hideMark/>
          </w:tcPr>
          <w:p w14:paraId="1C44CD7C" w14:textId="0DE64932"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w:t>
            </w:r>
            <w:r w:rsidRPr="006541FC">
              <w:rPr>
                <w:rFonts w:ascii="Times New Roman" w:eastAsia="Times New Roman" w:hAnsi="Times New Roman" w:cs="Times New Roman"/>
                <w:color w:val="000000"/>
                <w:lang w:val="en-US"/>
              </w:rPr>
              <w:t>ltmanz</w:t>
            </w:r>
          </w:p>
        </w:tc>
        <w:tc>
          <w:tcPr>
            <w:tcW w:w="674" w:type="pct"/>
            <w:tcBorders>
              <w:top w:val="nil"/>
              <w:left w:val="nil"/>
              <w:bottom w:val="nil"/>
              <w:right w:val="nil"/>
            </w:tcBorders>
            <w:shd w:val="clear" w:color="auto" w:fill="auto"/>
            <w:noWrap/>
            <w:vAlign w:val="bottom"/>
            <w:hideMark/>
          </w:tcPr>
          <w:p w14:paraId="168BCFB0" w14:textId="6ABE8327" w:rsidR="00384D7E" w:rsidRPr="006541FC" w:rsidRDefault="00EB7797" w:rsidP="006541FC">
            <w:pPr>
              <w:spacing w:after="0" w:line="240" w:lineRule="auto"/>
              <w:jc w:val="right"/>
              <w:rPr>
                <w:rFonts w:ascii="Times New Roman" w:eastAsia="Times New Roman" w:hAnsi="Times New Roman" w:cs="Times New Roman"/>
                <w:color w:val="000000"/>
                <w:lang w:val="en-US"/>
              </w:rPr>
            </w:pPr>
            <w:r w:rsidRPr="00EB7797">
              <w:rPr>
                <w:rFonts w:ascii="Times New Roman" w:eastAsia="Times New Roman" w:hAnsi="Times New Roman" w:cs="Times New Roman"/>
                <w:color w:val="000000"/>
                <w:lang w:val="en-US"/>
              </w:rPr>
              <w:t>-0.0065</w:t>
            </w:r>
          </w:p>
        </w:tc>
        <w:tc>
          <w:tcPr>
            <w:tcW w:w="736" w:type="pct"/>
            <w:tcBorders>
              <w:top w:val="nil"/>
              <w:left w:val="nil"/>
              <w:bottom w:val="nil"/>
              <w:right w:val="nil"/>
            </w:tcBorders>
            <w:shd w:val="clear" w:color="auto" w:fill="auto"/>
            <w:noWrap/>
            <w:vAlign w:val="bottom"/>
            <w:hideMark/>
          </w:tcPr>
          <w:p w14:paraId="0CAB4AEA"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c>
          <w:tcPr>
            <w:tcW w:w="632" w:type="pct"/>
            <w:tcBorders>
              <w:top w:val="nil"/>
              <w:left w:val="nil"/>
              <w:bottom w:val="nil"/>
              <w:right w:val="nil"/>
            </w:tcBorders>
            <w:shd w:val="clear" w:color="auto" w:fill="auto"/>
            <w:noWrap/>
            <w:vAlign w:val="bottom"/>
            <w:hideMark/>
          </w:tcPr>
          <w:p w14:paraId="22659A6C"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603" w:type="pct"/>
            <w:tcBorders>
              <w:top w:val="nil"/>
              <w:left w:val="nil"/>
              <w:bottom w:val="nil"/>
              <w:right w:val="nil"/>
            </w:tcBorders>
            <w:shd w:val="clear" w:color="auto" w:fill="auto"/>
            <w:noWrap/>
            <w:vAlign w:val="bottom"/>
            <w:hideMark/>
          </w:tcPr>
          <w:p w14:paraId="2EE1E98B"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69" w:type="pct"/>
            <w:tcBorders>
              <w:top w:val="nil"/>
              <w:left w:val="nil"/>
              <w:bottom w:val="nil"/>
              <w:right w:val="nil"/>
            </w:tcBorders>
            <w:shd w:val="clear" w:color="auto" w:fill="auto"/>
            <w:noWrap/>
            <w:vAlign w:val="bottom"/>
            <w:hideMark/>
          </w:tcPr>
          <w:p w14:paraId="2BC937D7"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616FEB60"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1DA5AB87"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r>
      <w:tr w:rsidR="00384D7E" w:rsidRPr="006541FC" w14:paraId="672B9CD2" w14:textId="77777777" w:rsidTr="00384D7E">
        <w:trPr>
          <w:trHeight w:val="286"/>
        </w:trPr>
        <w:tc>
          <w:tcPr>
            <w:tcW w:w="684" w:type="pct"/>
            <w:tcBorders>
              <w:top w:val="nil"/>
              <w:left w:val="nil"/>
              <w:bottom w:val="nil"/>
              <w:right w:val="nil"/>
            </w:tcBorders>
            <w:shd w:val="clear" w:color="auto" w:fill="auto"/>
            <w:noWrap/>
            <w:vAlign w:val="bottom"/>
            <w:hideMark/>
          </w:tcPr>
          <w:p w14:paraId="6FCB58F5" w14:textId="54618FAA"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w:t>
            </w:r>
          </w:p>
        </w:tc>
        <w:tc>
          <w:tcPr>
            <w:tcW w:w="674" w:type="pct"/>
            <w:tcBorders>
              <w:top w:val="nil"/>
              <w:left w:val="nil"/>
              <w:bottom w:val="nil"/>
              <w:right w:val="nil"/>
            </w:tcBorders>
            <w:shd w:val="clear" w:color="auto" w:fill="auto"/>
            <w:noWrap/>
            <w:vAlign w:val="bottom"/>
            <w:hideMark/>
          </w:tcPr>
          <w:p w14:paraId="672092F5" w14:textId="135D56B5" w:rsidR="00384D7E" w:rsidRPr="006541FC" w:rsidRDefault="00D817BD" w:rsidP="006541FC">
            <w:pPr>
              <w:spacing w:after="0" w:line="240" w:lineRule="auto"/>
              <w:jc w:val="right"/>
              <w:rPr>
                <w:rFonts w:ascii="Times New Roman" w:eastAsia="Times New Roman" w:hAnsi="Times New Roman" w:cs="Times New Roman"/>
                <w:color w:val="000000"/>
                <w:lang w:val="en-US"/>
              </w:rPr>
            </w:pPr>
            <w:r w:rsidRPr="00D817BD">
              <w:rPr>
                <w:rFonts w:ascii="Times New Roman" w:eastAsia="Times New Roman" w:hAnsi="Times New Roman" w:cs="Times New Roman"/>
                <w:color w:val="000000"/>
                <w:lang w:val="en-US"/>
              </w:rPr>
              <w:t>0.1388</w:t>
            </w:r>
          </w:p>
        </w:tc>
        <w:tc>
          <w:tcPr>
            <w:tcW w:w="736" w:type="pct"/>
            <w:tcBorders>
              <w:top w:val="nil"/>
              <w:left w:val="nil"/>
              <w:bottom w:val="nil"/>
              <w:right w:val="nil"/>
            </w:tcBorders>
            <w:shd w:val="clear" w:color="auto" w:fill="auto"/>
            <w:noWrap/>
            <w:vAlign w:val="bottom"/>
            <w:hideMark/>
          </w:tcPr>
          <w:p w14:paraId="67B2A6D4"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0.0338</w:t>
            </w:r>
          </w:p>
        </w:tc>
        <w:tc>
          <w:tcPr>
            <w:tcW w:w="632" w:type="pct"/>
            <w:tcBorders>
              <w:top w:val="nil"/>
              <w:left w:val="nil"/>
              <w:bottom w:val="nil"/>
              <w:right w:val="nil"/>
            </w:tcBorders>
            <w:shd w:val="clear" w:color="auto" w:fill="auto"/>
            <w:noWrap/>
            <w:vAlign w:val="bottom"/>
            <w:hideMark/>
          </w:tcPr>
          <w:p w14:paraId="4BB70D73"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c>
          <w:tcPr>
            <w:tcW w:w="603" w:type="pct"/>
            <w:tcBorders>
              <w:top w:val="nil"/>
              <w:left w:val="nil"/>
              <w:bottom w:val="nil"/>
              <w:right w:val="nil"/>
            </w:tcBorders>
            <w:shd w:val="clear" w:color="auto" w:fill="auto"/>
            <w:noWrap/>
            <w:vAlign w:val="bottom"/>
            <w:hideMark/>
          </w:tcPr>
          <w:p w14:paraId="488BC6F9"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569" w:type="pct"/>
            <w:tcBorders>
              <w:top w:val="nil"/>
              <w:left w:val="nil"/>
              <w:bottom w:val="nil"/>
              <w:right w:val="nil"/>
            </w:tcBorders>
            <w:shd w:val="clear" w:color="auto" w:fill="auto"/>
            <w:noWrap/>
            <w:vAlign w:val="bottom"/>
            <w:hideMark/>
          </w:tcPr>
          <w:p w14:paraId="355D2243"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50F83C15"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5E25C001"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r>
      <w:tr w:rsidR="00384D7E" w:rsidRPr="006541FC" w14:paraId="23F3143C" w14:textId="77777777" w:rsidTr="00384D7E">
        <w:trPr>
          <w:trHeight w:val="286"/>
        </w:trPr>
        <w:tc>
          <w:tcPr>
            <w:tcW w:w="684" w:type="pct"/>
            <w:tcBorders>
              <w:top w:val="nil"/>
              <w:left w:val="nil"/>
              <w:bottom w:val="nil"/>
              <w:right w:val="nil"/>
            </w:tcBorders>
            <w:shd w:val="clear" w:color="auto" w:fill="auto"/>
            <w:noWrap/>
            <w:vAlign w:val="bottom"/>
            <w:hideMark/>
          </w:tcPr>
          <w:p w14:paraId="0F2C05ED" w14:textId="2248D957"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LEV</w:t>
            </w:r>
          </w:p>
        </w:tc>
        <w:tc>
          <w:tcPr>
            <w:tcW w:w="674" w:type="pct"/>
            <w:tcBorders>
              <w:top w:val="nil"/>
              <w:left w:val="nil"/>
              <w:bottom w:val="nil"/>
              <w:right w:val="nil"/>
            </w:tcBorders>
            <w:shd w:val="clear" w:color="auto" w:fill="auto"/>
            <w:noWrap/>
            <w:vAlign w:val="bottom"/>
            <w:hideMark/>
          </w:tcPr>
          <w:p w14:paraId="26EBFC36" w14:textId="683D28AE" w:rsidR="00384D7E" w:rsidRPr="006541FC" w:rsidRDefault="00D817BD" w:rsidP="006541FC">
            <w:pPr>
              <w:spacing w:after="0" w:line="240" w:lineRule="auto"/>
              <w:jc w:val="right"/>
              <w:rPr>
                <w:rFonts w:ascii="Times New Roman" w:eastAsia="Times New Roman" w:hAnsi="Times New Roman" w:cs="Times New Roman"/>
                <w:color w:val="000000"/>
                <w:lang w:val="en-US"/>
              </w:rPr>
            </w:pPr>
            <w:r w:rsidRPr="00D817BD">
              <w:rPr>
                <w:rFonts w:ascii="Times New Roman" w:eastAsia="Times New Roman" w:hAnsi="Times New Roman" w:cs="Times New Roman"/>
                <w:color w:val="000000"/>
                <w:lang w:val="en-US"/>
              </w:rPr>
              <w:t>-0.1596</w:t>
            </w:r>
          </w:p>
        </w:tc>
        <w:tc>
          <w:tcPr>
            <w:tcW w:w="736" w:type="pct"/>
            <w:tcBorders>
              <w:top w:val="nil"/>
              <w:left w:val="nil"/>
              <w:bottom w:val="nil"/>
              <w:right w:val="nil"/>
            </w:tcBorders>
            <w:shd w:val="clear" w:color="auto" w:fill="auto"/>
            <w:noWrap/>
            <w:vAlign w:val="bottom"/>
            <w:hideMark/>
          </w:tcPr>
          <w:p w14:paraId="4637766A"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0.1594</w:t>
            </w:r>
          </w:p>
        </w:tc>
        <w:tc>
          <w:tcPr>
            <w:tcW w:w="632" w:type="pct"/>
            <w:tcBorders>
              <w:top w:val="nil"/>
              <w:left w:val="nil"/>
              <w:bottom w:val="nil"/>
              <w:right w:val="nil"/>
            </w:tcBorders>
            <w:shd w:val="clear" w:color="auto" w:fill="auto"/>
            <w:noWrap/>
            <w:vAlign w:val="bottom"/>
            <w:hideMark/>
          </w:tcPr>
          <w:p w14:paraId="58C68F55"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0.0139</w:t>
            </w:r>
          </w:p>
        </w:tc>
        <w:tc>
          <w:tcPr>
            <w:tcW w:w="603" w:type="pct"/>
            <w:tcBorders>
              <w:top w:val="nil"/>
              <w:left w:val="nil"/>
              <w:bottom w:val="nil"/>
              <w:right w:val="nil"/>
            </w:tcBorders>
            <w:shd w:val="clear" w:color="auto" w:fill="auto"/>
            <w:noWrap/>
            <w:vAlign w:val="bottom"/>
            <w:hideMark/>
          </w:tcPr>
          <w:p w14:paraId="54758D04"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c>
          <w:tcPr>
            <w:tcW w:w="569" w:type="pct"/>
            <w:tcBorders>
              <w:top w:val="nil"/>
              <w:left w:val="nil"/>
              <w:bottom w:val="nil"/>
              <w:right w:val="nil"/>
            </w:tcBorders>
            <w:shd w:val="clear" w:color="auto" w:fill="auto"/>
            <w:noWrap/>
            <w:vAlign w:val="bottom"/>
            <w:hideMark/>
          </w:tcPr>
          <w:p w14:paraId="3CAFA3D3"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551" w:type="pct"/>
            <w:tcBorders>
              <w:top w:val="nil"/>
              <w:left w:val="nil"/>
              <w:bottom w:val="nil"/>
              <w:right w:val="nil"/>
            </w:tcBorders>
            <w:shd w:val="clear" w:color="auto" w:fill="auto"/>
            <w:noWrap/>
            <w:vAlign w:val="bottom"/>
            <w:hideMark/>
          </w:tcPr>
          <w:p w14:paraId="392CB988"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c>
          <w:tcPr>
            <w:tcW w:w="551" w:type="pct"/>
            <w:tcBorders>
              <w:top w:val="nil"/>
              <w:left w:val="nil"/>
              <w:bottom w:val="nil"/>
              <w:right w:val="nil"/>
            </w:tcBorders>
            <w:shd w:val="clear" w:color="auto" w:fill="auto"/>
            <w:noWrap/>
            <w:vAlign w:val="bottom"/>
            <w:hideMark/>
          </w:tcPr>
          <w:p w14:paraId="03D6751F"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r>
      <w:tr w:rsidR="00384D7E" w:rsidRPr="006541FC" w14:paraId="1C1E70AE" w14:textId="77777777" w:rsidTr="00384D7E">
        <w:trPr>
          <w:trHeight w:val="286"/>
        </w:trPr>
        <w:tc>
          <w:tcPr>
            <w:tcW w:w="684" w:type="pct"/>
            <w:tcBorders>
              <w:top w:val="nil"/>
              <w:left w:val="nil"/>
              <w:bottom w:val="nil"/>
              <w:right w:val="nil"/>
            </w:tcBorders>
            <w:shd w:val="clear" w:color="auto" w:fill="auto"/>
            <w:noWrap/>
            <w:vAlign w:val="bottom"/>
            <w:hideMark/>
          </w:tcPr>
          <w:p w14:paraId="3F5C0203" w14:textId="626E63D0"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ROA</w:t>
            </w:r>
          </w:p>
        </w:tc>
        <w:tc>
          <w:tcPr>
            <w:tcW w:w="674" w:type="pct"/>
            <w:tcBorders>
              <w:top w:val="nil"/>
              <w:left w:val="nil"/>
              <w:bottom w:val="nil"/>
              <w:right w:val="nil"/>
            </w:tcBorders>
            <w:shd w:val="clear" w:color="auto" w:fill="auto"/>
            <w:noWrap/>
            <w:vAlign w:val="bottom"/>
            <w:hideMark/>
          </w:tcPr>
          <w:p w14:paraId="47C5FA1E" w14:textId="27B49E5E" w:rsidR="00384D7E" w:rsidRPr="006541FC" w:rsidRDefault="00D817BD" w:rsidP="006541FC">
            <w:pPr>
              <w:spacing w:after="0" w:line="240" w:lineRule="auto"/>
              <w:jc w:val="right"/>
              <w:rPr>
                <w:rFonts w:ascii="Times New Roman" w:eastAsia="Times New Roman" w:hAnsi="Times New Roman" w:cs="Times New Roman"/>
                <w:color w:val="000000"/>
                <w:lang w:val="en-US"/>
              </w:rPr>
            </w:pPr>
            <w:r w:rsidRPr="00D817BD">
              <w:rPr>
                <w:rFonts w:ascii="Times New Roman" w:eastAsia="Times New Roman" w:hAnsi="Times New Roman" w:cs="Times New Roman"/>
                <w:color w:val="000000"/>
                <w:lang w:val="en-US"/>
              </w:rPr>
              <w:t>0.1980</w:t>
            </w:r>
          </w:p>
        </w:tc>
        <w:tc>
          <w:tcPr>
            <w:tcW w:w="736" w:type="pct"/>
            <w:tcBorders>
              <w:top w:val="nil"/>
              <w:left w:val="nil"/>
              <w:bottom w:val="nil"/>
              <w:right w:val="nil"/>
            </w:tcBorders>
            <w:shd w:val="clear" w:color="auto" w:fill="auto"/>
            <w:noWrap/>
            <w:vAlign w:val="bottom"/>
            <w:hideMark/>
          </w:tcPr>
          <w:p w14:paraId="11192040"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0.087</w:t>
            </w:r>
          </w:p>
        </w:tc>
        <w:tc>
          <w:tcPr>
            <w:tcW w:w="632" w:type="pct"/>
            <w:tcBorders>
              <w:top w:val="nil"/>
              <w:left w:val="nil"/>
              <w:bottom w:val="nil"/>
              <w:right w:val="nil"/>
            </w:tcBorders>
            <w:shd w:val="clear" w:color="auto" w:fill="auto"/>
            <w:noWrap/>
            <w:vAlign w:val="bottom"/>
            <w:hideMark/>
          </w:tcPr>
          <w:p w14:paraId="0BF6F871"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0.0182</w:t>
            </w:r>
          </w:p>
        </w:tc>
        <w:tc>
          <w:tcPr>
            <w:tcW w:w="603" w:type="pct"/>
            <w:tcBorders>
              <w:top w:val="nil"/>
              <w:left w:val="nil"/>
              <w:bottom w:val="nil"/>
              <w:right w:val="nil"/>
            </w:tcBorders>
            <w:shd w:val="clear" w:color="auto" w:fill="auto"/>
            <w:noWrap/>
            <w:vAlign w:val="bottom"/>
            <w:hideMark/>
          </w:tcPr>
          <w:p w14:paraId="1CA5BB94"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-0.3763</w:t>
            </w:r>
          </w:p>
        </w:tc>
        <w:tc>
          <w:tcPr>
            <w:tcW w:w="569" w:type="pct"/>
            <w:tcBorders>
              <w:top w:val="nil"/>
              <w:left w:val="nil"/>
              <w:bottom w:val="nil"/>
              <w:right w:val="nil"/>
            </w:tcBorders>
            <w:shd w:val="clear" w:color="auto" w:fill="auto"/>
            <w:noWrap/>
            <w:vAlign w:val="bottom"/>
            <w:hideMark/>
          </w:tcPr>
          <w:p w14:paraId="1D19DCE8"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c>
          <w:tcPr>
            <w:tcW w:w="551" w:type="pct"/>
            <w:tcBorders>
              <w:top w:val="nil"/>
              <w:left w:val="nil"/>
              <w:bottom w:val="nil"/>
              <w:right w:val="nil"/>
            </w:tcBorders>
            <w:shd w:val="clear" w:color="auto" w:fill="auto"/>
            <w:noWrap/>
            <w:vAlign w:val="bottom"/>
            <w:hideMark/>
          </w:tcPr>
          <w:p w14:paraId="043C7658"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551" w:type="pct"/>
            <w:tcBorders>
              <w:top w:val="nil"/>
              <w:left w:val="nil"/>
              <w:bottom w:val="nil"/>
              <w:right w:val="nil"/>
            </w:tcBorders>
            <w:shd w:val="clear" w:color="auto" w:fill="auto"/>
            <w:noWrap/>
            <w:vAlign w:val="bottom"/>
            <w:hideMark/>
          </w:tcPr>
          <w:p w14:paraId="1E94BB14" w14:textId="77777777" w:rsidR="00384D7E" w:rsidRPr="006541FC" w:rsidRDefault="00384D7E" w:rsidP="006541FC">
            <w:pPr>
              <w:spacing w:after="0" w:line="240" w:lineRule="auto"/>
              <w:rPr>
                <w:rFonts w:ascii="Times New Roman" w:eastAsia="Times New Roman" w:hAnsi="Times New Roman" w:cs="Times New Roman"/>
                <w:color w:val="auto"/>
                <w:sz w:val="20"/>
                <w:szCs w:val="20"/>
                <w:lang w:val="en-US"/>
              </w:rPr>
            </w:pPr>
          </w:p>
        </w:tc>
      </w:tr>
      <w:tr w:rsidR="00384D7E" w:rsidRPr="006541FC" w14:paraId="20A04FA8" w14:textId="77777777" w:rsidTr="00384D7E">
        <w:trPr>
          <w:trHeight w:val="286"/>
        </w:trPr>
        <w:tc>
          <w:tcPr>
            <w:tcW w:w="684" w:type="pct"/>
            <w:tcBorders>
              <w:top w:val="nil"/>
              <w:left w:val="nil"/>
              <w:bottom w:val="nil"/>
              <w:right w:val="nil"/>
            </w:tcBorders>
            <w:shd w:val="clear" w:color="auto" w:fill="auto"/>
            <w:noWrap/>
            <w:vAlign w:val="bottom"/>
            <w:hideMark/>
          </w:tcPr>
          <w:p w14:paraId="56D57197" w14:textId="2A74EC3E"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SIZE</w:t>
            </w:r>
          </w:p>
        </w:tc>
        <w:tc>
          <w:tcPr>
            <w:tcW w:w="674" w:type="pct"/>
            <w:tcBorders>
              <w:top w:val="nil"/>
              <w:left w:val="nil"/>
              <w:bottom w:val="nil"/>
              <w:right w:val="nil"/>
            </w:tcBorders>
            <w:shd w:val="clear" w:color="auto" w:fill="auto"/>
            <w:noWrap/>
            <w:vAlign w:val="bottom"/>
            <w:hideMark/>
          </w:tcPr>
          <w:p w14:paraId="55739867" w14:textId="2834F5F8" w:rsidR="00384D7E" w:rsidRPr="006541FC" w:rsidRDefault="00D817BD" w:rsidP="006541FC">
            <w:pPr>
              <w:spacing w:after="0" w:line="240" w:lineRule="auto"/>
              <w:jc w:val="right"/>
              <w:rPr>
                <w:rFonts w:ascii="Times New Roman" w:eastAsia="Times New Roman" w:hAnsi="Times New Roman" w:cs="Times New Roman"/>
                <w:color w:val="000000"/>
                <w:lang w:val="en-US"/>
              </w:rPr>
            </w:pPr>
            <w:r w:rsidRPr="00D817BD">
              <w:rPr>
                <w:rFonts w:ascii="Times New Roman" w:eastAsia="Times New Roman" w:hAnsi="Times New Roman" w:cs="Times New Roman"/>
                <w:color w:val="000000"/>
                <w:lang w:val="en-US"/>
              </w:rPr>
              <w:t>-0.0717</w:t>
            </w:r>
          </w:p>
        </w:tc>
        <w:tc>
          <w:tcPr>
            <w:tcW w:w="736" w:type="pct"/>
            <w:tcBorders>
              <w:top w:val="nil"/>
              <w:left w:val="nil"/>
              <w:bottom w:val="nil"/>
              <w:right w:val="nil"/>
            </w:tcBorders>
            <w:shd w:val="clear" w:color="auto" w:fill="auto"/>
            <w:noWrap/>
            <w:vAlign w:val="bottom"/>
            <w:hideMark/>
          </w:tcPr>
          <w:p w14:paraId="4EAA8C7F"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0.5415</w:t>
            </w:r>
          </w:p>
        </w:tc>
        <w:tc>
          <w:tcPr>
            <w:tcW w:w="632" w:type="pct"/>
            <w:tcBorders>
              <w:top w:val="nil"/>
              <w:left w:val="nil"/>
              <w:bottom w:val="nil"/>
              <w:right w:val="nil"/>
            </w:tcBorders>
            <w:shd w:val="clear" w:color="auto" w:fill="auto"/>
            <w:noWrap/>
            <w:vAlign w:val="bottom"/>
            <w:hideMark/>
          </w:tcPr>
          <w:p w14:paraId="7FDCBF3F"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0.078</w:t>
            </w:r>
          </w:p>
        </w:tc>
        <w:tc>
          <w:tcPr>
            <w:tcW w:w="603" w:type="pct"/>
            <w:tcBorders>
              <w:top w:val="nil"/>
              <w:left w:val="nil"/>
              <w:bottom w:val="nil"/>
              <w:right w:val="nil"/>
            </w:tcBorders>
            <w:shd w:val="clear" w:color="auto" w:fill="auto"/>
            <w:noWrap/>
            <w:vAlign w:val="bottom"/>
            <w:hideMark/>
          </w:tcPr>
          <w:p w14:paraId="52A1CF4B"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0.3289</w:t>
            </w:r>
          </w:p>
        </w:tc>
        <w:tc>
          <w:tcPr>
            <w:tcW w:w="569" w:type="pct"/>
            <w:tcBorders>
              <w:top w:val="nil"/>
              <w:left w:val="nil"/>
              <w:bottom w:val="nil"/>
              <w:right w:val="nil"/>
            </w:tcBorders>
            <w:shd w:val="clear" w:color="auto" w:fill="auto"/>
            <w:noWrap/>
            <w:vAlign w:val="bottom"/>
            <w:hideMark/>
          </w:tcPr>
          <w:p w14:paraId="249A5062"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-0.052</w:t>
            </w:r>
          </w:p>
        </w:tc>
        <w:tc>
          <w:tcPr>
            <w:tcW w:w="551" w:type="pct"/>
            <w:tcBorders>
              <w:top w:val="nil"/>
              <w:left w:val="nil"/>
              <w:bottom w:val="nil"/>
              <w:right w:val="nil"/>
            </w:tcBorders>
            <w:shd w:val="clear" w:color="auto" w:fill="auto"/>
            <w:noWrap/>
            <w:vAlign w:val="bottom"/>
            <w:hideMark/>
          </w:tcPr>
          <w:p w14:paraId="4F0A74CD"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c>
          <w:tcPr>
            <w:tcW w:w="551" w:type="pct"/>
            <w:tcBorders>
              <w:top w:val="nil"/>
              <w:left w:val="nil"/>
              <w:bottom w:val="nil"/>
              <w:right w:val="nil"/>
            </w:tcBorders>
            <w:shd w:val="clear" w:color="auto" w:fill="auto"/>
            <w:noWrap/>
            <w:vAlign w:val="bottom"/>
            <w:hideMark/>
          </w:tcPr>
          <w:p w14:paraId="5F2FB4F6"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r>
      <w:tr w:rsidR="00384D7E" w:rsidRPr="006541FC" w14:paraId="01E47442" w14:textId="77777777" w:rsidTr="00384D7E">
        <w:trPr>
          <w:trHeight w:val="286"/>
        </w:trPr>
        <w:tc>
          <w:tcPr>
            <w:tcW w:w="684" w:type="pct"/>
            <w:tcBorders>
              <w:top w:val="nil"/>
              <w:left w:val="nil"/>
              <w:bottom w:val="nil"/>
              <w:right w:val="nil"/>
            </w:tcBorders>
            <w:shd w:val="clear" w:color="auto" w:fill="auto"/>
            <w:noWrap/>
            <w:vAlign w:val="bottom"/>
            <w:hideMark/>
          </w:tcPr>
          <w:p w14:paraId="411CA783" w14:textId="75D2351D" w:rsidR="00384D7E" w:rsidRPr="006541FC" w:rsidRDefault="00384D7E" w:rsidP="006541F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WCA</w:t>
            </w:r>
          </w:p>
        </w:tc>
        <w:tc>
          <w:tcPr>
            <w:tcW w:w="674" w:type="pct"/>
            <w:tcBorders>
              <w:top w:val="nil"/>
              <w:left w:val="nil"/>
              <w:bottom w:val="nil"/>
              <w:right w:val="nil"/>
            </w:tcBorders>
            <w:shd w:val="clear" w:color="auto" w:fill="auto"/>
            <w:noWrap/>
            <w:vAlign w:val="bottom"/>
            <w:hideMark/>
          </w:tcPr>
          <w:p w14:paraId="0353315F" w14:textId="5248709E" w:rsidR="00384D7E" w:rsidRPr="006541FC" w:rsidRDefault="00D817BD" w:rsidP="006541FC">
            <w:pPr>
              <w:spacing w:after="0" w:line="240" w:lineRule="auto"/>
              <w:jc w:val="right"/>
              <w:rPr>
                <w:rFonts w:ascii="Times New Roman" w:eastAsia="Times New Roman" w:hAnsi="Times New Roman" w:cs="Times New Roman"/>
                <w:color w:val="000000"/>
                <w:lang w:val="en-US"/>
              </w:rPr>
            </w:pPr>
            <w:r w:rsidRPr="00D817BD">
              <w:rPr>
                <w:rFonts w:ascii="Times New Roman" w:eastAsia="Times New Roman" w:hAnsi="Times New Roman" w:cs="Times New Roman"/>
                <w:color w:val="000000"/>
                <w:lang w:val="en-US"/>
              </w:rPr>
              <w:t>-0.3588</w:t>
            </w:r>
          </w:p>
        </w:tc>
        <w:tc>
          <w:tcPr>
            <w:tcW w:w="736" w:type="pct"/>
            <w:tcBorders>
              <w:top w:val="nil"/>
              <w:left w:val="nil"/>
              <w:bottom w:val="nil"/>
              <w:right w:val="nil"/>
            </w:tcBorders>
            <w:shd w:val="clear" w:color="auto" w:fill="auto"/>
            <w:noWrap/>
            <w:vAlign w:val="bottom"/>
            <w:hideMark/>
          </w:tcPr>
          <w:p w14:paraId="2999C8C1"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-0.0004</w:t>
            </w:r>
          </w:p>
        </w:tc>
        <w:tc>
          <w:tcPr>
            <w:tcW w:w="632" w:type="pct"/>
            <w:tcBorders>
              <w:top w:val="nil"/>
              <w:left w:val="nil"/>
              <w:bottom w:val="nil"/>
              <w:right w:val="nil"/>
            </w:tcBorders>
            <w:shd w:val="clear" w:color="auto" w:fill="auto"/>
            <w:noWrap/>
            <w:vAlign w:val="bottom"/>
            <w:hideMark/>
          </w:tcPr>
          <w:p w14:paraId="0BB75349"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-0.0946</w:t>
            </w:r>
          </w:p>
        </w:tc>
        <w:tc>
          <w:tcPr>
            <w:tcW w:w="603" w:type="pct"/>
            <w:tcBorders>
              <w:top w:val="nil"/>
              <w:left w:val="nil"/>
              <w:bottom w:val="nil"/>
              <w:right w:val="nil"/>
            </w:tcBorders>
            <w:shd w:val="clear" w:color="auto" w:fill="auto"/>
            <w:noWrap/>
            <w:vAlign w:val="bottom"/>
            <w:hideMark/>
          </w:tcPr>
          <w:p w14:paraId="1302C05C"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-0.0051</w:t>
            </w:r>
          </w:p>
        </w:tc>
        <w:tc>
          <w:tcPr>
            <w:tcW w:w="569" w:type="pct"/>
            <w:tcBorders>
              <w:top w:val="nil"/>
              <w:left w:val="nil"/>
              <w:bottom w:val="nil"/>
              <w:right w:val="nil"/>
            </w:tcBorders>
            <w:shd w:val="clear" w:color="auto" w:fill="auto"/>
            <w:noWrap/>
            <w:vAlign w:val="bottom"/>
            <w:hideMark/>
          </w:tcPr>
          <w:p w14:paraId="6B9A3CAC"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0.1029</w:t>
            </w:r>
          </w:p>
        </w:tc>
        <w:tc>
          <w:tcPr>
            <w:tcW w:w="551" w:type="pct"/>
            <w:tcBorders>
              <w:top w:val="nil"/>
              <w:left w:val="nil"/>
              <w:bottom w:val="nil"/>
              <w:right w:val="nil"/>
            </w:tcBorders>
            <w:shd w:val="clear" w:color="auto" w:fill="auto"/>
            <w:noWrap/>
            <w:vAlign w:val="bottom"/>
            <w:hideMark/>
          </w:tcPr>
          <w:p w14:paraId="1716759E"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0.033</w:t>
            </w:r>
          </w:p>
        </w:tc>
        <w:tc>
          <w:tcPr>
            <w:tcW w:w="551" w:type="pct"/>
            <w:tcBorders>
              <w:top w:val="nil"/>
              <w:left w:val="nil"/>
              <w:bottom w:val="nil"/>
              <w:right w:val="nil"/>
            </w:tcBorders>
            <w:shd w:val="clear" w:color="auto" w:fill="auto"/>
            <w:noWrap/>
            <w:vAlign w:val="bottom"/>
            <w:hideMark/>
          </w:tcPr>
          <w:p w14:paraId="53AAEDDD"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r w:rsidRPr="006541FC">
              <w:rPr>
                <w:rFonts w:ascii="Times New Roman" w:eastAsia="Times New Roman" w:hAnsi="Times New Roman" w:cs="Times New Roman"/>
                <w:color w:val="000000"/>
                <w:lang w:val="en-US"/>
              </w:rPr>
              <w:t>1</w:t>
            </w:r>
          </w:p>
        </w:tc>
      </w:tr>
      <w:tr w:rsidR="00384D7E" w:rsidRPr="006541FC" w14:paraId="00CDE892" w14:textId="77777777" w:rsidTr="00384D7E">
        <w:trPr>
          <w:trHeight w:val="286"/>
        </w:trPr>
        <w:tc>
          <w:tcPr>
            <w:tcW w:w="684" w:type="pct"/>
            <w:tcBorders>
              <w:top w:val="nil"/>
              <w:left w:val="nil"/>
              <w:bottom w:val="nil"/>
              <w:right w:val="nil"/>
            </w:tcBorders>
            <w:shd w:val="clear" w:color="auto" w:fill="auto"/>
            <w:noWrap/>
            <w:vAlign w:val="bottom"/>
          </w:tcPr>
          <w:p w14:paraId="2D498D11" w14:textId="77777777" w:rsidR="00384D7E" w:rsidRPr="006541FC" w:rsidRDefault="00384D7E" w:rsidP="006541FC">
            <w:pPr>
              <w:spacing w:after="0" w:line="240" w:lineRule="auto"/>
              <w:rPr>
                <w:rFonts w:ascii="Times New Roman" w:eastAsia="Times New Roman" w:hAnsi="Times New Roman" w:cs="Times New Roman"/>
                <w:color w:val="000000"/>
                <w:lang w:val="en-US"/>
              </w:rPr>
            </w:pPr>
          </w:p>
        </w:tc>
        <w:tc>
          <w:tcPr>
            <w:tcW w:w="674" w:type="pct"/>
            <w:tcBorders>
              <w:top w:val="nil"/>
              <w:left w:val="nil"/>
              <w:bottom w:val="nil"/>
              <w:right w:val="nil"/>
            </w:tcBorders>
            <w:shd w:val="clear" w:color="auto" w:fill="auto"/>
            <w:noWrap/>
            <w:vAlign w:val="bottom"/>
          </w:tcPr>
          <w:p w14:paraId="79B58443"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736" w:type="pct"/>
            <w:tcBorders>
              <w:top w:val="nil"/>
              <w:left w:val="nil"/>
              <w:bottom w:val="nil"/>
              <w:right w:val="nil"/>
            </w:tcBorders>
            <w:shd w:val="clear" w:color="auto" w:fill="auto"/>
            <w:noWrap/>
            <w:vAlign w:val="bottom"/>
          </w:tcPr>
          <w:p w14:paraId="439FFC4B"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632" w:type="pct"/>
            <w:tcBorders>
              <w:top w:val="nil"/>
              <w:left w:val="nil"/>
              <w:bottom w:val="nil"/>
              <w:right w:val="nil"/>
            </w:tcBorders>
            <w:shd w:val="clear" w:color="auto" w:fill="auto"/>
            <w:noWrap/>
            <w:vAlign w:val="bottom"/>
          </w:tcPr>
          <w:p w14:paraId="6B9EB01F"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603" w:type="pct"/>
            <w:tcBorders>
              <w:top w:val="nil"/>
              <w:left w:val="nil"/>
              <w:bottom w:val="nil"/>
              <w:right w:val="nil"/>
            </w:tcBorders>
            <w:shd w:val="clear" w:color="auto" w:fill="auto"/>
            <w:noWrap/>
            <w:vAlign w:val="bottom"/>
          </w:tcPr>
          <w:p w14:paraId="41D77E29"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569" w:type="pct"/>
            <w:tcBorders>
              <w:top w:val="nil"/>
              <w:left w:val="nil"/>
              <w:bottom w:val="nil"/>
              <w:right w:val="nil"/>
            </w:tcBorders>
            <w:shd w:val="clear" w:color="auto" w:fill="auto"/>
            <w:noWrap/>
            <w:vAlign w:val="bottom"/>
          </w:tcPr>
          <w:p w14:paraId="030FD020"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551" w:type="pct"/>
            <w:tcBorders>
              <w:top w:val="nil"/>
              <w:left w:val="nil"/>
              <w:bottom w:val="nil"/>
              <w:right w:val="nil"/>
            </w:tcBorders>
            <w:shd w:val="clear" w:color="auto" w:fill="auto"/>
            <w:noWrap/>
            <w:vAlign w:val="bottom"/>
          </w:tcPr>
          <w:p w14:paraId="10B01E50"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c>
          <w:tcPr>
            <w:tcW w:w="551" w:type="pct"/>
            <w:tcBorders>
              <w:top w:val="nil"/>
              <w:left w:val="nil"/>
              <w:bottom w:val="nil"/>
              <w:right w:val="nil"/>
            </w:tcBorders>
            <w:shd w:val="clear" w:color="auto" w:fill="auto"/>
            <w:noWrap/>
            <w:vAlign w:val="bottom"/>
          </w:tcPr>
          <w:p w14:paraId="4F87AFDE" w14:textId="77777777" w:rsidR="00384D7E" w:rsidRPr="006541FC" w:rsidRDefault="00384D7E" w:rsidP="006541FC">
            <w:pPr>
              <w:spacing w:after="0" w:line="240" w:lineRule="auto"/>
              <w:jc w:val="right"/>
              <w:rPr>
                <w:rFonts w:ascii="Times New Roman" w:eastAsia="Times New Roman" w:hAnsi="Times New Roman" w:cs="Times New Roman"/>
                <w:color w:val="000000"/>
                <w:lang w:val="en-US"/>
              </w:rPr>
            </w:pPr>
          </w:p>
        </w:tc>
      </w:tr>
    </w:tbl>
    <w:p w14:paraId="1D6EBA99" w14:textId="77777777" w:rsidR="00C01FAF" w:rsidRPr="00341848" w:rsidRDefault="007304E5" w:rsidP="00361353">
      <w:pPr>
        <w:tabs>
          <w:tab w:val="left" w:pos="360"/>
        </w:tabs>
        <w:spacing w:after="0" w:line="360" w:lineRule="auto"/>
        <w:rPr>
          <w:rFonts w:cstheme="majorHAnsi"/>
          <w:szCs w:val="26"/>
          <w:lang w:val="tr-TR"/>
        </w:rPr>
      </w:pPr>
      <w:r w:rsidRPr="00341848">
        <w:rPr>
          <w:rFonts w:cstheme="majorHAnsi"/>
          <w:szCs w:val="26"/>
        </w:rPr>
        <w:tab/>
      </w:r>
      <w:r w:rsidRPr="00341848">
        <w:rPr>
          <w:rFonts w:cstheme="majorHAnsi"/>
          <w:szCs w:val="26"/>
        </w:rPr>
        <w:tab/>
      </w:r>
      <w:r w:rsidRPr="00341848">
        <w:rPr>
          <w:rFonts w:cstheme="majorHAnsi"/>
          <w:szCs w:val="26"/>
        </w:rPr>
        <w:tab/>
      </w:r>
      <w:r w:rsidRPr="00341848">
        <w:rPr>
          <w:rFonts w:cstheme="majorHAnsi"/>
          <w:szCs w:val="26"/>
        </w:rPr>
        <w:tab/>
      </w:r>
      <w:r w:rsidRPr="00341848">
        <w:rPr>
          <w:rFonts w:cstheme="majorHAnsi"/>
          <w:szCs w:val="26"/>
        </w:rPr>
        <w:tab/>
      </w:r>
      <w:r w:rsidRPr="00341848">
        <w:rPr>
          <w:rFonts w:cstheme="majorHAnsi"/>
          <w:szCs w:val="26"/>
        </w:rPr>
        <w:tab/>
      </w:r>
      <w:r w:rsidRPr="00341848">
        <w:rPr>
          <w:rFonts w:cstheme="majorHAnsi"/>
          <w:szCs w:val="26"/>
        </w:rPr>
        <w:tab/>
      </w:r>
      <w:r w:rsidR="00C01FAF" w:rsidRPr="00341848">
        <w:rPr>
          <w:rFonts w:cstheme="majorHAnsi"/>
          <w:szCs w:val="26"/>
          <w:lang w:val="tr-TR"/>
        </w:rPr>
        <w:t>Nguồn: Phân tích dữ liệu từ phần mềm STATA</w:t>
      </w:r>
    </w:p>
    <w:p w14:paraId="619BBE75" w14:textId="5434569A" w:rsidR="00D728A4" w:rsidRPr="00341848" w:rsidRDefault="007907E7" w:rsidP="007907E7">
      <w:pPr>
        <w:tabs>
          <w:tab w:val="left" w:pos="450"/>
        </w:tabs>
        <w:spacing w:after="0" w:line="360" w:lineRule="auto"/>
        <w:rPr>
          <w:rFonts w:cstheme="majorHAnsi"/>
          <w:b/>
          <w:szCs w:val="26"/>
        </w:rPr>
      </w:pPr>
      <w:r>
        <w:rPr>
          <w:rFonts w:cstheme="majorHAnsi"/>
          <w:szCs w:val="26"/>
        </w:rPr>
        <w:tab/>
      </w:r>
      <w:r w:rsidR="00D728A4" w:rsidRPr="00341848">
        <w:rPr>
          <w:rFonts w:cstheme="majorHAnsi"/>
          <w:b/>
          <w:szCs w:val="26"/>
        </w:rPr>
        <w:t>Kết quả phân tích hồi quy</w:t>
      </w:r>
    </w:p>
    <w:p w14:paraId="2EE67203" w14:textId="0531659F" w:rsidR="004173BF" w:rsidRDefault="004173BF" w:rsidP="004173BF">
      <w:pPr>
        <w:spacing w:after="0" w:line="360" w:lineRule="auto"/>
        <w:rPr>
          <w:rFonts w:cstheme="majorHAnsi"/>
          <w:szCs w:val="26"/>
          <w:lang w:val="tr-TR"/>
        </w:rPr>
      </w:pPr>
      <w:r w:rsidRPr="00341848">
        <w:rPr>
          <w:rFonts w:cstheme="majorHAnsi"/>
          <w:szCs w:val="26"/>
          <w:lang w:val="tr-TR"/>
        </w:rPr>
        <w:t>Bảng 4: Kết quả hồi qui tuyế</w:t>
      </w:r>
      <w:r w:rsidR="00784256">
        <w:rPr>
          <w:rFonts w:cstheme="majorHAnsi"/>
          <w:szCs w:val="26"/>
          <w:lang w:val="tr-TR"/>
        </w:rPr>
        <w:t xml:space="preserve">n tính theo </w:t>
      </w:r>
      <w:r w:rsidRPr="00341848">
        <w:rPr>
          <w:rFonts w:cstheme="majorHAnsi"/>
          <w:szCs w:val="26"/>
          <w:lang w:val="tr-TR"/>
        </w:rPr>
        <w:t xml:space="preserve"> FEM, REM của mô hình</w:t>
      </w:r>
    </w:p>
    <w:tbl>
      <w:tblPr>
        <w:tblW w:w="10460" w:type="dxa"/>
        <w:tblLook w:val="04A0" w:firstRow="1" w:lastRow="0" w:firstColumn="1" w:lastColumn="0" w:noHBand="0" w:noVBand="1"/>
      </w:tblPr>
      <w:tblGrid>
        <w:gridCol w:w="108"/>
        <w:gridCol w:w="1251"/>
        <w:gridCol w:w="1899"/>
        <w:gridCol w:w="1459"/>
        <w:gridCol w:w="1234"/>
        <w:gridCol w:w="967"/>
        <w:gridCol w:w="1501"/>
        <w:gridCol w:w="1234"/>
        <w:gridCol w:w="807"/>
      </w:tblGrid>
      <w:tr w:rsidR="002E7099" w:rsidRPr="002E7099" w14:paraId="059D324D" w14:textId="77777777" w:rsidTr="00A14995">
        <w:trPr>
          <w:gridBefore w:val="1"/>
          <w:gridAfter w:val="1"/>
          <w:wBefore w:w="108" w:type="dxa"/>
          <w:wAfter w:w="807" w:type="dxa"/>
          <w:trHeight w:val="385"/>
        </w:trPr>
        <w:tc>
          <w:tcPr>
            <w:tcW w:w="1251" w:type="dxa"/>
            <w:vMerge w:val="restart"/>
            <w:tcBorders>
              <w:top w:val="single" w:sz="8" w:space="0" w:color="auto"/>
              <w:left w:val="nil"/>
              <w:bottom w:val="single" w:sz="8" w:space="0" w:color="000000"/>
              <w:right w:val="nil"/>
            </w:tcBorders>
            <w:shd w:val="clear" w:color="auto" w:fill="auto"/>
            <w:vAlign w:val="center"/>
            <w:hideMark/>
          </w:tcPr>
          <w:p w14:paraId="2605418E" w14:textId="77777777"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Biến độc lập</w:t>
            </w:r>
          </w:p>
        </w:tc>
        <w:tc>
          <w:tcPr>
            <w:tcW w:w="4592" w:type="dxa"/>
            <w:gridSpan w:val="3"/>
            <w:tcBorders>
              <w:top w:val="single" w:sz="8" w:space="0" w:color="auto"/>
              <w:left w:val="nil"/>
              <w:bottom w:val="single" w:sz="8" w:space="0" w:color="auto"/>
              <w:right w:val="nil"/>
            </w:tcBorders>
            <w:shd w:val="clear" w:color="auto" w:fill="auto"/>
            <w:noWrap/>
            <w:vAlign w:val="center"/>
            <w:hideMark/>
          </w:tcPr>
          <w:p w14:paraId="32B09B96" w14:textId="77777777"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FEM</w:t>
            </w:r>
          </w:p>
        </w:tc>
        <w:tc>
          <w:tcPr>
            <w:tcW w:w="3702" w:type="dxa"/>
            <w:gridSpan w:val="3"/>
            <w:tcBorders>
              <w:top w:val="single" w:sz="8" w:space="0" w:color="auto"/>
              <w:left w:val="nil"/>
              <w:bottom w:val="single" w:sz="8" w:space="0" w:color="auto"/>
              <w:right w:val="nil"/>
            </w:tcBorders>
            <w:shd w:val="clear" w:color="auto" w:fill="auto"/>
            <w:noWrap/>
            <w:vAlign w:val="center"/>
            <w:hideMark/>
          </w:tcPr>
          <w:p w14:paraId="3C4D8968" w14:textId="77777777"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REM</w:t>
            </w:r>
          </w:p>
        </w:tc>
      </w:tr>
      <w:tr w:rsidR="002E7099" w:rsidRPr="002E7099" w14:paraId="1C9EB778" w14:textId="77777777" w:rsidTr="00A14995">
        <w:trPr>
          <w:gridBefore w:val="1"/>
          <w:gridAfter w:val="1"/>
          <w:wBefore w:w="108" w:type="dxa"/>
          <w:wAfter w:w="807" w:type="dxa"/>
          <w:trHeight w:val="756"/>
        </w:trPr>
        <w:tc>
          <w:tcPr>
            <w:tcW w:w="1251" w:type="dxa"/>
            <w:vMerge/>
            <w:tcBorders>
              <w:top w:val="single" w:sz="8" w:space="0" w:color="auto"/>
              <w:left w:val="nil"/>
              <w:bottom w:val="single" w:sz="8" w:space="0" w:color="000000"/>
              <w:right w:val="nil"/>
            </w:tcBorders>
            <w:vAlign w:val="center"/>
            <w:hideMark/>
          </w:tcPr>
          <w:p w14:paraId="7A9F6D70" w14:textId="77777777" w:rsidR="002E7099" w:rsidRPr="002E7099" w:rsidRDefault="002E7099" w:rsidP="002E7099">
            <w:pPr>
              <w:spacing w:after="0" w:line="240" w:lineRule="auto"/>
              <w:rPr>
                <w:rFonts w:ascii="Times New Roman" w:eastAsia="Times New Roman" w:hAnsi="Times New Roman" w:cs="Times New Roman"/>
                <w:b/>
                <w:bCs/>
                <w:color w:val="000000"/>
                <w:szCs w:val="26"/>
                <w:lang w:val="en-US"/>
              </w:rPr>
            </w:pPr>
          </w:p>
        </w:tc>
        <w:tc>
          <w:tcPr>
            <w:tcW w:w="3358" w:type="dxa"/>
            <w:gridSpan w:val="2"/>
            <w:tcBorders>
              <w:top w:val="single" w:sz="8" w:space="0" w:color="auto"/>
              <w:left w:val="nil"/>
              <w:bottom w:val="single" w:sz="4" w:space="0" w:color="auto"/>
              <w:right w:val="nil"/>
            </w:tcBorders>
            <w:shd w:val="clear" w:color="auto" w:fill="auto"/>
            <w:vAlign w:val="center"/>
            <w:hideMark/>
          </w:tcPr>
          <w:p w14:paraId="51366E1A" w14:textId="77777777"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Hệ số hồi quy</w:t>
            </w:r>
          </w:p>
        </w:tc>
        <w:tc>
          <w:tcPr>
            <w:tcW w:w="1234" w:type="dxa"/>
            <w:tcBorders>
              <w:top w:val="single" w:sz="8" w:space="0" w:color="auto"/>
              <w:left w:val="nil"/>
              <w:bottom w:val="single" w:sz="4" w:space="0" w:color="auto"/>
              <w:right w:val="nil"/>
            </w:tcBorders>
            <w:shd w:val="clear" w:color="auto" w:fill="auto"/>
            <w:vAlign w:val="center"/>
            <w:hideMark/>
          </w:tcPr>
          <w:p w14:paraId="302AC492" w14:textId="77777777"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Mức ý nghĩa</w:t>
            </w:r>
          </w:p>
        </w:tc>
        <w:tc>
          <w:tcPr>
            <w:tcW w:w="2468" w:type="dxa"/>
            <w:gridSpan w:val="2"/>
            <w:tcBorders>
              <w:top w:val="single" w:sz="8" w:space="0" w:color="auto"/>
              <w:left w:val="nil"/>
              <w:bottom w:val="single" w:sz="8" w:space="0" w:color="auto"/>
              <w:right w:val="nil"/>
            </w:tcBorders>
            <w:shd w:val="clear" w:color="auto" w:fill="auto"/>
            <w:vAlign w:val="center"/>
            <w:hideMark/>
          </w:tcPr>
          <w:p w14:paraId="73C3E8CE" w14:textId="77777777"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Hệ số hồi quy</w:t>
            </w:r>
          </w:p>
        </w:tc>
        <w:tc>
          <w:tcPr>
            <w:tcW w:w="1234" w:type="dxa"/>
            <w:tcBorders>
              <w:top w:val="single" w:sz="8" w:space="0" w:color="auto"/>
              <w:left w:val="nil"/>
              <w:bottom w:val="single" w:sz="8" w:space="0" w:color="auto"/>
              <w:right w:val="nil"/>
            </w:tcBorders>
            <w:shd w:val="clear" w:color="auto" w:fill="auto"/>
            <w:vAlign w:val="center"/>
            <w:hideMark/>
          </w:tcPr>
          <w:p w14:paraId="3DC729E3" w14:textId="5E25738B" w:rsidR="002E7099" w:rsidRPr="002E7099" w:rsidRDefault="002E7099" w:rsidP="002E7099">
            <w:pPr>
              <w:spacing w:after="0" w:line="240" w:lineRule="auto"/>
              <w:jc w:val="center"/>
              <w:rPr>
                <w:rFonts w:ascii="Times New Roman" w:eastAsia="Times New Roman" w:hAnsi="Times New Roman" w:cs="Times New Roman"/>
                <w:b/>
                <w:bCs/>
                <w:color w:val="000000"/>
                <w:szCs w:val="26"/>
                <w:lang w:val="en-US"/>
              </w:rPr>
            </w:pPr>
            <w:r w:rsidRPr="002E7099">
              <w:rPr>
                <w:rFonts w:ascii="Times New Roman" w:eastAsia="Times New Roman" w:hAnsi="Times New Roman" w:cs="Times New Roman"/>
                <w:b/>
                <w:bCs/>
                <w:color w:val="000000"/>
                <w:szCs w:val="26"/>
              </w:rPr>
              <w:t>Mức ý</w:t>
            </w:r>
            <w:r>
              <w:rPr>
                <w:rFonts w:ascii="Times New Roman" w:eastAsia="Times New Roman" w:hAnsi="Times New Roman" w:cs="Times New Roman"/>
                <w:b/>
                <w:bCs/>
                <w:color w:val="000000"/>
                <w:szCs w:val="26"/>
                <w:lang w:val="en-US"/>
              </w:rPr>
              <w:t xml:space="preserve"> </w:t>
            </w:r>
            <w:r w:rsidRPr="002E7099">
              <w:rPr>
                <w:rFonts w:ascii="Times New Roman" w:eastAsia="Times New Roman" w:hAnsi="Times New Roman" w:cs="Times New Roman"/>
                <w:b/>
                <w:bCs/>
                <w:color w:val="000000"/>
                <w:szCs w:val="26"/>
              </w:rPr>
              <w:t xml:space="preserve"> nghĩa</w:t>
            </w:r>
          </w:p>
        </w:tc>
      </w:tr>
      <w:tr w:rsidR="00A26B1C" w:rsidRPr="002E7099" w14:paraId="1EBAE276"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0FF12D72" w14:textId="77777777" w:rsidR="00A26B1C" w:rsidRPr="002E7099" w:rsidRDefault="00A26B1C" w:rsidP="00A26B1C">
            <w:pPr>
              <w:spacing w:after="0" w:line="240" w:lineRule="auto"/>
              <w:rPr>
                <w:rFonts w:ascii="Times New Roman" w:eastAsia="Times New Roman" w:hAnsi="Times New Roman" w:cs="Times New Roman"/>
                <w:color w:val="000000"/>
                <w:lang w:val="en-US"/>
              </w:rPr>
            </w:pPr>
            <w:r w:rsidRPr="002E7099">
              <w:rPr>
                <w:rFonts w:ascii="Times New Roman" w:eastAsia="Times New Roman" w:hAnsi="Times New Roman" w:cs="Times New Roman"/>
                <w:color w:val="000000"/>
                <w:lang w:val="en-US"/>
              </w:rPr>
              <w:t>Altmanz</w:t>
            </w:r>
          </w:p>
        </w:tc>
        <w:tc>
          <w:tcPr>
            <w:tcW w:w="3358" w:type="dxa"/>
            <w:gridSpan w:val="2"/>
            <w:tcBorders>
              <w:top w:val="single" w:sz="4" w:space="0" w:color="auto"/>
              <w:left w:val="nil"/>
              <w:bottom w:val="nil"/>
              <w:right w:val="nil"/>
            </w:tcBorders>
            <w:shd w:val="clear" w:color="auto" w:fill="auto"/>
            <w:noWrap/>
            <w:vAlign w:val="bottom"/>
          </w:tcPr>
          <w:p w14:paraId="32692064" w14:textId="26D132A6"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-.006</w:t>
            </w:r>
            <w:r w:rsidR="00A26B1C">
              <w:rPr>
                <w:rFonts w:eastAsia="Times New Roman" w:cstheme="majorHAnsi"/>
                <w:szCs w:val="26"/>
              </w:rPr>
              <w:t>*</w:t>
            </w:r>
          </w:p>
        </w:tc>
        <w:tc>
          <w:tcPr>
            <w:tcW w:w="1234" w:type="dxa"/>
            <w:tcBorders>
              <w:top w:val="single" w:sz="4" w:space="0" w:color="auto"/>
              <w:left w:val="nil"/>
              <w:bottom w:val="nil"/>
              <w:right w:val="nil"/>
            </w:tcBorders>
            <w:shd w:val="clear" w:color="auto" w:fill="auto"/>
            <w:noWrap/>
            <w:vAlign w:val="bottom"/>
          </w:tcPr>
          <w:p w14:paraId="060C7C17" w14:textId="4A01E1F1" w:rsidR="00A26B1C" w:rsidRPr="002E7099" w:rsidRDefault="00A7059D" w:rsidP="00A26B1C">
            <w:pPr>
              <w:spacing w:after="0" w:line="240" w:lineRule="auto"/>
              <w:jc w:val="right"/>
              <w:rPr>
                <w:rFonts w:ascii="Times New Roman" w:eastAsia="Times New Roman" w:hAnsi="Times New Roman" w:cs="Times New Roman"/>
                <w:color w:val="000000"/>
                <w:lang w:val="en-US"/>
              </w:rPr>
            </w:pPr>
            <w:r w:rsidRPr="00A7059D">
              <w:rPr>
                <w:color w:val="000000"/>
              </w:rPr>
              <w:t>0.085</w:t>
            </w:r>
          </w:p>
        </w:tc>
        <w:tc>
          <w:tcPr>
            <w:tcW w:w="2468" w:type="dxa"/>
            <w:gridSpan w:val="2"/>
            <w:tcBorders>
              <w:top w:val="nil"/>
              <w:left w:val="nil"/>
              <w:bottom w:val="nil"/>
              <w:right w:val="nil"/>
            </w:tcBorders>
            <w:shd w:val="clear" w:color="auto" w:fill="auto"/>
            <w:noWrap/>
            <w:vAlign w:val="bottom"/>
            <w:hideMark/>
          </w:tcPr>
          <w:p w14:paraId="28013714" w14:textId="0A91FE1B" w:rsidR="00A26B1C" w:rsidRPr="002E7099" w:rsidRDefault="0090381C" w:rsidP="00A26B1C">
            <w:pPr>
              <w:spacing w:after="0" w:line="240" w:lineRule="auto"/>
              <w:jc w:val="right"/>
              <w:rPr>
                <w:rFonts w:ascii="Times New Roman" w:eastAsia="Times New Roman" w:hAnsi="Times New Roman" w:cs="Times New Roman"/>
                <w:color w:val="000000"/>
                <w:lang w:val="en-US"/>
              </w:rPr>
            </w:pPr>
            <w:r w:rsidRPr="0090381C">
              <w:rPr>
                <w:rFonts w:ascii="Times New Roman" w:eastAsia="Times New Roman" w:hAnsi="Times New Roman" w:cs="Times New Roman"/>
                <w:color w:val="000000"/>
                <w:lang w:val="en-US"/>
              </w:rPr>
              <w:t>-</w:t>
            </w:r>
            <w:r w:rsidR="006B46DB">
              <w:rPr>
                <w:rFonts w:ascii="Times New Roman" w:eastAsia="Times New Roman" w:hAnsi="Times New Roman" w:cs="Times New Roman"/>
                <w:color w:val="000000"/>
                <w:lang w:val="en-US"/>
              </w:rPr>
              <w:t>0</w:t>
            </w:r>
            <w:r w:rsidRPr="0090381C">
              <w:rPr>
                <w:rFonts w:ascii="Times New Roman" w:eastAsia="Times New Roman" w:hAnsi="Times New Roman" w:cs="Times New Roman"/>
                <w:color w:val="000000"/>
                <w:lang w:val="en-US"/>
              </w:rPr>
              <w:t>.0008</w:t>
            </w:r>
          </w:p>
        </w:tc>
        <w:tc>
          <w:tcPr>
            <w:tcW w:w="1234" w:type="dxa"/>
            <w:tcBorders>
              <w:top w:val="nil"/>
              <w:left w:val="nil"/>
              <w:bottom w:val="nil"/>
              <w:right w:val="nil"/>
            </w:tcBorders>
            <w:shd w:val="clear" w:color="auto" w:fill="auto"/>
            <w:noWrap/>
            <w:vAlign w:val="bottom"/>
            <w:hideMark/>
          </w:tcPr>
          <w:p w14:paraId="51AAC0FF" w14:textId="51FBB46F" w:rsidR="00A26B1C" w:rsidRPr="002E7099" w:rsidRDefault="004502D5" w:rsidP="004502D5">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0.657</w:t>
            </w:r>
          </w:p>
        </w:tc>
      </w:tr>
      <w:tr w:rsidR="00A26B1C" w:rsidRPr="002E7099" w14:paraId="1EBBA5AA"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59467E90" w14:textId="77777777" w:rsidR="00A26B1C" w:rsidRDefault="00A26B1C" w:rsidP="00A26B1C">
            <w:pPr>
              <w:spacing w:after="0" w:line="240" w:lineRule="auto"/>
              <w:rPr>
                <w:rFonts w:ascii="Times New Roman" w:eastAsia="Times New Roman" w:hAnsi="Times New Roman" w:cs="Times New Roman"/>
                <w:color w:val="000000"/>
                <w:lang w:val="en-US"/>
              </w:rPr>
            </w:pPr>
          </w:p>
          <w:p w14:paraId="028E8AF5" w14:textId="41BFC5D7" w:rsidR="00A26B1C" w:rsidRPr="002E7099" w:rsidRDefault="00A26B1C" w:rsidP="00A26B1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w:t>
            </w:r>
          </w:p>
        </w:tc>
        <w:tc>
          <w:tcPr>
            <w:tcW w:w="3358" w:type="dxa"/>
            <w:gridSpan w:val="2"/>
            <w:tcBorders>
              <w:top w:val="nil"/>
              <w:left w:val="nil"/>
              <w:bottom w:val="nil"/>
              <w:right w:val="nil"/>
            </w:tcBorders>
            <w:shd w:val="clear" w:color="auto" w:fill="auto"/>
            <w:noWrap/>
            <w:vAlign w:val="bottom"/>
          </w:tcPr>
          <w:p w14:paraId="3175946C" w14:textId="73C835BB"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.084</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tcPr>
          <w:p w14:paraId="06CBCEA7" w14:textId="5BB3369B" w:rsidR="00A26B1C" w:rsidRPr="002E7099" w:rsidRDefault="00A7059D" w:rsidP="00A26B1C">
            <w:pPr>
              <w:spacing w:after="0" w:line="240" w:lineRule="auto"/>
              <w:jc w:val="right"/>
              <w:rPr>
                <w:rFonts w:ascii="Times New Roman" w:eastAsia="Times New Roman" w:hAnsi="Times New Roman" w:cs="Times New Roman"/>
                <w:color w:val="000000"/>
                <w:lang w:val="en-US"/>
              </w:rPr>
            </w:pPr>
            <w:r>
              <w:rPr>
                <w:color w:val="000000"/>
              </w:rPr>
              <w:t>0.055</w:t>
            </w:r>
          </w:p>
        </w:tc>
        <w:tc>
          <w:tcPr>
            <w:tcW w:w="2468" w:type="dxa"/>
            <w:gridSpan w:val="2"/>
            <w:tcBorders>
              <w:top w:val="nil"/>
              <w:left w:val="nil"/>
              <w:bottom w:val="nil"/>
              <w:right w:val="nil"/>
            </w:tcBorders>
            <w:shd w:val="clear" w:color="auto" w:fill="auto"/>
            <w:noWrap/>
            <w:vAlign w:val="bottom"/>
            <w:hideMark/>
          </w:tcPr>
          <w:p w14:paraId="53C397DC" w14:textId="1DCDFAF2" w:rsidR="00A26B1C" w:rsidRPr="002E7099" w:rsidRDefault="006B46DB" w:rsidP="00A26B1C">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90381C" w:rsidRPr="0090381C">
              <w:rPr>
                <w:rFonts w:ascii="Times New Roman" w:eastAsia="Times New Roman" w:hAnsi="Times New Roman" w:cs="Times New Roman"/>
                <w:color w:val="000000"/>
                <w:lang w:val="en-US"/>
              </w:rPr>
              <w:t>.0807</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hideMark/>
          </w:tcPr>
          <w:p w14:paraId="11A5BFCC" w14:textId="77777777" w:rsidR="00A26B1C" w:rsidRPr="002E7099" w:rsidRDefault="00A26B1C" w:rsidP="00A26B1C">
            <w:pPr>
              <w:spacing w:after="0" w:line="240" w:lineRule="auto"/>
              <w:jc w:val="right"/>
              <w:rPr>
                <w:rFonts w:ascii="Times New Roman" w:eastAsia="Times New Roman" w:hAnsi="Times New Roman" w:cs="Times New Roman"/>
                <w:color w:val="000000"/>
                <w:lang w:val="en-US"/>
              </w:rPr>
            </w:pPr>
            <w:r w:rsidRPr="002E7099">
              <w:rPr>
                <w:rFonts w:ascii="Times New Roman" w:eastAsia="Times New Roman" w:hAnsi="Times New Roman" w:cs="Times New Roman"/>
                <w:color w:val="000000"/>
                <w:lang w:val="en-US"/>
              </w:rPr>
              <w:t>0.000</w:t>
            </w:r>
          </w:p>
        </w:tc>
      </w:tr>
      <w:tr w:rsidR="00A26B1C" w:rsidRPr="002E7099" w14:paraId="712B82C2"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1FCF3936" w14:textId="5A696BF7" w:rsidR="00A26B1C" w:rsidRPr="002E7099" w:rsidRDefault="00A26B1C" w:rsidP="00A26B1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LEV</w:t>
            </w:r>
          </w:p>
        </w:tc>
        <w:tc>
          <w:tcPr>
            <w:tcW w:w="3358" w:type="dxa"/>
            <w:gridSpan w:val="2"/>
            <w:tcBorders>
              <w:top w:val="nil"/>
              <w:left w:val="nil"/>
              <w:bottom w:val="nil"/>
              <w:right w:val="nil"/>
            </w:tcBorders>
            <w:shd w:val="clear" w:color="auto" w:fill="auto"/>
            <w:noWrap/>
            <w:vAlign w:val="bottom"/>
          </w:tcPr>
          <w:p w14:paraId="6BD286E9" w14:textId="6B2FAACD"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-.207</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tcPr>
          <w:p w14:paraId="068E7EA0" w14:textId="3A8F5131" w:rsidR="00A26B1C" w:rsidRPr="002E7099" w:rsidRDefault="00A7059D" w:rsidP="00A26B1C">
            <w:pPr>
              <w:spacing w:after="0" w:line="240" w:lineRule="auto"/>
              <w:jc w:val="right"/>
              <w:rPr>
                <w:rFonts w:ascii="Times New Roman" w:eastAsia="Times New Roman" w:hAnsi="Times New Roman" w:cs="Times New Roman"/>
                <w:color w:val="000000"/>
                <w:lang w:val="en-US"/>
              </w:rPr>
            </w:pPr>
            <w:r>
              <w:rPr>
                <w:color w:val="000000"/>
              </w:rPr>
              <w:t>0.001</w:t>
            </w:r>
          </w:p>
        </w:tc>
        <w:tc>
          <w:tcPr>
            <w:tcW w:w="2468" w:type="dxa"/>
            <w:gridSpan w:val="2"/>
            <w:tcBorders>
              <w:top w:val="nil"/>
              <w:left w:val="nil"/>
              <w:bottom w:val="nil"/>
              <w:right w:val="nil"/>
            </w:tcBorders>
            <w:shd w:val="clear" w:color="auto" w:fill="auto"/>
            <w:noWrap/>
            <w:vAlign w:val="bottom"/>
            <w:hideMark/>
          </w:tcPr>
          <w:p w14:paraId="239C7BD8" w14:textId="0220E50B" w:rsidR="00A26B1C" w:rsidRPr="002E7099" w:rsidRDefault="0090381C" w:rsidP="00A26B1C">
            <w:pPr>
              <w:spacing w:after="0" w:line="240" w:lineRule="auto"/>
              <w:jc w:val="right"/>
              <w:rPr>
                <w:rFonts w:ascii="Times New Roman" w:eastAsia="Times New Roman" w:hAnsi="Times New Roman" w:cs="Times New Roman"/>
                <w:color w:val="000000"/>
                <w:lang w:val="en-US"/>
              </w:rPr>
            </w:pPr>
            <w:r w:rsidRPr="0090381C">
              <w:rPr>
                <w:rFonts w:ascii="Times New Roman" w:eastAsia="Times New Roman" w:hAnsi="Times New Roman" w:cs="Times New Roman"/>
                <w:color w:val="000000"/>
                <w:lang w:val="en-US"/>
              </w:rPr>
              <w:t>-</w:t>
            </w:r>
            <w:r w:rsidR="006B46DB">
              <w:rPr>
                <w:rFonts w:ascii="Times New Roman" w:eastAsia="Times New Roman" w:hAnsi="Times New Roman" w:cs="Times New Roman"/>
                <w:color w:val="000000"/>
                <w:lang w:val="en-US"/>
              </w:rPr>
              <w:t>0</w:t>
            </w:r>
            <w:r w:rsidRPr="0090381C">
              <w:rPr>
                <w:rFonts w:ascii="Times New Roman" w:eastAsia="Times New Roman" w:hAnsi="Times New Roman" w:cs="Times New Roman"/>
                <w:color w:val="000000"/>
                <w:lang w:val="en-US"/>
              </w:rPr>
              <w:t>.0706</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hideMark/>
          </w:tcPr>
          <w:p w14:paraId="4547DE64" w14:textId="77777777" w:rsidR="00A26B1C" w:rsidRPr="002E7099" w:rsidRDefault="00A26B1C" w:rsidP="00A26B1C">
            <w:pPr>
              <w:spacing w:after="0" w:line="240" w:lineRule="auto"/>
              <w:jc w:val="right"/>
              <w:rPr>
                <w:rFonts w:ascii="Times New Roman" w:eastAsia="Times New Roman" w:hAnsi="Times New Roman" w:cs="Times New Roman"/>
                <w:color w:val="000000"/>
                <w:lang w:val="en-US"/>
              </w:rPr>
            </w:pPr>
            <w:r w:rsidRPr="002E7099">
              <w:rPr>
                <w:rFonts w:ascii="Times New Roman" w:eastAsia="Times New Roman" w:hAnsi="Times New Roman" w:cs="Times New Roman"/>
                <w:color w:val="000000"/>
                <w:lang w:val="en-US"/>
              </w:rPr>
              <w:t>0.000</w:t>
            </w:r>
          </w:p>
        </w:tc>
      </w:tr>
      <w:tr w:rsidR="00A26B1C" w:rsidRPr="002E7099" w14:paraId="30AFEBC7"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2D4443EA" w14:textId="08BAFFC0" w:rsidR="00A26B1C" w:rsidRPr="002E7099" w:rsidRDefault="00A26B1C" w:rsidP="00A26B1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ROA</w:t>
            </w:r>
          </w:p>
        </w:tc>
        <w:tc>
          <w:tcPr>
            <w:tcW w:w="3358" w:type="dxa"/>
            <w:gridSpan w:val="2"/>
            <w:tcBorders>
              <w:top w:val="nil"/>
              <w:left w:val="nil"/>
              <w:bottom w:val="nil"/>
              <w:right w:val="nil"/>
            </w:tcBorders>
            <w:shd w:val="clear" w:color="auto" w:fill="auto"/>
            <w:noWrap/>
            <w:vAlign w:val="bottom"/>
          </w:tcPr>
          <w:p w14:paraId="2EEE302A" w14:textId="52131CC1"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.216</w:t>
            </w:r>
            <w:r w:rsidR="001630CB">
              <w:rPr>
                <w:rFonts w:eastAsia="Times New Roman" w:cstheme="majorHAnsi"/>
                <w:szCs w:val="26"/>
              </w:rPr>
              <w:t>*</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tcPr>
          <w:p w14:paraId="02BA9207" w14:textId="290090F2" w:rsidR="00A26B1C" w:rsidRPr="002E7099" w:rsidRDefault="00A7059D" w:rsidP="00A26B1C">
            <w:pPr>
              <w:spacing w:after="0" w:line="240" w:lineRule="auto"/>
              <w:jc w:val="right"/>
              <w:rPr>
                <w:rFonts w:ascii="Times New Roman" w:eastAsia="Times New Roman" w:hAnsi="Times New Roman" w:cs="Times New Roman"/>
                <w:color w:val="000000"/>
                <w:lang w:val="en-US"/>
              </w:rPr>
            </w:pPr>
            <w:r w:rsidRPr="00A7059D">
              <w:rPr>
                <w:rFonts w:ascii="Times New Roman" w:eastAsia="Times New Roman" w:hAnsi="Times New Roman" w:cs="Times New Roman"/>
                <w:color w:val="000000"/>
                <w:lang w:val="en-US"/>
              </w:rPr>
              <w:t>0.017</w:t>
            </w:r>
          </w:p>
        </w:tc>
        <w:tc>
          <w:tcPr>
            <w:tcW w:w="2468" w:type="dxa"/>
            <w:gridSpan w:val="2"/>
            <w:tcBorders>
              <w:top w:val="nil"/>
              <w:left w:val="nil"/>
              <w:bottom w:val="nil"/>
              <w:right w:val="nil"/>
            </w:tcBorders>
            <w:shd w:val="clear" w:color="auto" w:fill="auto"/>
            <w:noWrap/>
            <w:vAlign w:val="bottom"/>
            <w:hideMark/>
          </w:tcPr>
          <w:p w14:paraId="4A80D70E" w14:textId="42FF8347" w:rsidR="00A26B1C" w:rsidRPr="002E7099" w:rsidRDefault="006B46DB" w:rsidP="00A26B1C">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90381C" w:rsidRPr="0090381C">
              <w:rPr>
                <w:rFonts w:ascii="Times New Roman" w:eastAsia="Times New Roman" w:hAnsi="Times New Roman" w:cs="Times New Roman"/>
                <w:color w:val="000000"/>
                <w:lang w:val="en-US"/>
              </w:rPr>
              <w:t>.343</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hideMark/>
          </w:tcPr>
          <w:p w14:paraId="4BC71CFD" w14:textId="77777777" w:rsidR="00A26B1C" w:rsidRPr="002E7099" w:rsidRDefault="00A26B1C" w:rsidP="00A26B1C">
            <w:pPr>
              <w:spacing w:after="0" w:line="240" w:lineRule="auto"/>
              <w:jc w:val="right"/>
              <w:rPr>
                <w:rFonts w:ascii="Times New Roman" w:eastAsia="Times New Roman" w:hAnsi="Times New Roman" w:cs="Times New Roman"/>
                <w:color w:val="000000"/>
                <w:lang w:val="en-US"/>
              </w:rPr>
            </w:pPr>
            <w:r w:rsidRPr="002E7099">
              <w:rPr>
                <w:rFonts w:ascii="Times New Roman" w:eastAsia="Times New Roman" w:hAnsi="Times New Roman" w:cs="Times New Roman"/>
                <w:color w:val="000000"/>
                <w:lang w:val="en-US"/>
              </w:rPr>
              <w:t>0.000</w:t>
            </w:r>
          </w:p>
        </w:tc>
      </w:tr>
      <w:tr w:rsidR="00A26B1C" w:rsidRPr="002E7099" w14:paraId="7341A9CE"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67F51146" w14:textId="4A5178D4" w:rsidR="00A26B1C" w:rsidRPr="002E7099" w:rsidRDefault="00A26B1C" w:rsidP="00A26B1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SIZE</w:t>
            </w:r>
          </w:p>
        </w:tc>
        <w:tc>
          <w:tcPr>
            <w:tcW w:w="3358" w:type="dxa"/>
            <w:gridSpan w:val="2"/>
            <w:tcBorders>
              <w:top w:val="nil"/>
              <w:left w:val="nil"/>
              <w:bottom w:val="nil"/>
              <w:right w:val="nil"/>
            </w:tcBorders>
            <w:shd w:val="clear" w:color="auto" w:fill="auto"/>
            <w:noWrap/>
            <w:vAlign w:val="bottom"/>
          </w:tcPr>
          <w:p w14:paraId="3FA49E6B" w14:textId="1EB03F26"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.0304</w:t>
            </w:r>
            <w:r w:rsidR="001630CB">
              <w:rPr>
                <w:rFonts w:eastAsia="Times New Roman" w:cstheme="majorHAnsi"/>
                <w:szCs w:val="26"/>
              </w:rPr>
              <w:t>*</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tcPr>
          <w:p w14:paraId="295E4F9B" w14:textId="7E4D6859" w:rsidR="00A26B1C" w:rsidRPr="002E7099" w:rsidRDefault="00A7059D" w:rsidP="00A26B1C">
            <w:pPr>
              <w:spacing w:after="0" w:line="240" w:lineRule="auto"/>
              <w:jc w:val="right"/>
              <w:rPr>
                <w:rFonts w:ascii="Times New Roman" w:eastAsia="Times New Roman" w:hAnsi="Times New Roman" w:cs="Times New Roman"/>
                <w:color w:val="000000"/>
                <w:lang w:val="en-US"/>
              </w:rPr>
            </w:pPr>
            <w:r w:rsidRPr="00A7059D">
              <w:rPr>
                <w:color w:val="000000"/>
              </w:rPr>
              <w:t>0.042</w:t>
            </w:r>
          </w:p>
        </w:tc>
        <w:tc>
          <w:tcPr>
            <w:tcW w:w="2468" w:type="dxa"/>
            <w:gridSpan w:val="2"/>
            <w:tcBorders>
              <w:top w:val="nil"/>
              <w:left w:val="nil"/>
              <w:bottom w:val="nil"/>
              <w:right w:val="nil"/>
            </w:tcBorders>
            <w:shd w:val="clear" w:color="auto" w:fill="auto"/>
            <w:noWrap/>
            <w:vAlign w:val="bottom"/>
            <w:hideMark/>
          </w:tcPr>
          <w:p w14:paraId="2220B3E5" w14:textId="5F5C220B" w:rsidR="00A26B1C" w:rsidRPr="002E7099" w:rsidRDefault="0090381C" w:rsidP="00A26B1C">
            <w:pPr>
              <w:spacing w:after="0" w:line="240" w:lineRule="auto"/>
              <w:jc w:val="right"/>
              <w:rPr>
                <w:rFonts w:ascii="Times New Roman" w:eastAsia="Times New Roman" w:hAnsi="Times New Roman" w:cs="Times New Roman"/>
                <w:color w:val="000000"/>
                <w:lang w:val="en-US"/>
              </w:rPr>
            </w:pPr>
            <w:r w:rsidRPr="0090381C">
              <w:rPr>
                <w:rFonts w:ascii="Times New Roman" w:eastAsia="Times New Roman" w:hAnsi="Times New Roman" w:cs="Times New Roman"/>
                <w:color w:val="000000"/>
                <w:lang w:val="en-US"/>
              </w:rPr>
              <w:t>-</w:t>
            </w:r>
            <w:r w:rsidR="006B46DB">
              <w:rPr>
                <w:rFonts w:ascii="Times New Roman" w:eastAsia="Times New Roman" w:hAnsi="Times New Roman" w:cs="Times New Roman"/>
                <w:color w:val="000000"/>
                <w:lang w:val="en-US"/>
              </w:rPr>
              <w:t>0</w:t>
            </w:r>
            <w:r w:rsidRPr="0090381C">
              <w:rPr>
                <w:rFonts w:ascii="Times New Roman" w:eastAsia="Times New Roman" w:hAnsi="Times New Roman" w:cs="Times New Roman"/>
                <w:color w:val="000000"/>
                <w:lang w:val="en-US"/>
              </w:rPr>
              <w:t>.0015</w:t>
            </w:r>
          </w:p>
        </w:tc>
        <w:tc>
          <w:tcPr>
            <w:tcW w:w="1234" w:type="dxa"/>
            <w:tcBorders>
              <w:top w:val="nil"/>
              <w:left w:val="nil"/>
              <w:bottom w:val="nil"/>
              <w:right w:val="nil"/>
            </w:tcBorders>
            <w:shd w:val="clear" w:color="auto" w:fill="auto"/>
            <w:noWrap/>
            <w:vAlign w:val="bottom"/>
            <w:hideMark/>
          </w:tcPr>
          <w:p w14:paraId="5BA20FB6" w14:textId="6728C510" w:rsidR="00A26B1C" w:rsidRPr="002E7099" w:rsidRDefault="004502D5" w:rsidP="00A26B1C">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0.63</w:t>
            </w:r>
          </w:p>
        </w:tc>
      </w:tr>
      <w:tr w:rsidR="00A26B1C" w:rsidRPr="002E7099" w14:paraId="744438A6"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391C4B3B" w14:textId="2382A8EB" w:rsidR="00A26B1C" w:rsidRPr="002E7099" w:rsidRDefault="00A26B1C" w:rsidP="00A26B1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WCA</w:t>
            </w:r>
          </w:p>
        </w:tc>
        <w:tc>
          <w:tcPr>
            <w:tcW w:w="3358" w:type="dxa"/>
            <w:gridSpan w:val="2"/>
            <w:tcBorders>
              <w:top w:val="nil"/>
              <w:left w:val="nil"/>
              <w:bottom w:val="nil"/>
              <w:right w:val="nil"/>
            </w:tcBorders>
            <w:shd w:val="clear" w:color="auto" w:fill="auto"/>
            <w:noWrap/>
            <w:vAlign w:val="bottom"/>
          </w:tcPr>
          <w:p w14:paraId="0D7EF8F8" w14:textId="4AC07822"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-.312</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tcPr>
          <w:p w14:paraId="5B21F019" w14:textId="22889CB4" w:rsidR="00A26B1C" w:rsidRPr="002E7099" w:rsidRDefault="00A26B1C" w:rsidP="00A26B1C">
            <w:pPr>
              <w:spacing w:after="0" w:line="240" w:lineRule="auto"/>
              <w:jc w:val="right"/>
              <w:rPr>
                <w:rFonts w:ascii="Times New Roman" w:eastAsia="Times New Roman" w:hAnsi="Times New Roman" w:cs="Times New Roman"/>
                <w:color w:val="000000"/>
                <w:lang w:val="en-US"/>
              </w:rPr>
            </w:pPr>
            <w:r>
              <w:rPr>
                <w:color w:val="000000"/>
              </w:rPr>
              <w:t>0.000</w:t>
            </w:r>
          </w:p>
        </w:tc>
        <w:tc>
          <w:tcPr>
            <w:tcW w:w="2468" w:type="dxa"/>
            <w:gridSpan w:val="2"/>
            <w:tcBorders>
              <w:top w:val="nil"/>
              <w:left w:val="nil"/>
              <w:bottom w:val="nil"/>
              <w:right w:val="nil"/>
            </w:tcBorders>
            <w:shd w:val="clear" w:color="auto" w:fill="auto"/>
            <w:noWrap/>
            <w:vAlign w:val="bottom"/>
            <w:hideMark/>
          </w:tcPr>
          <w:p w14:paraId="4004DD27" w14:textId="6C92FC60" w:rsidR="00A26B1C" w:rsidRPr="002E7099" w:rsidRDefault="0090381C" w:rsidP="00A26B1C">
            <w:pPr>
              <w:spacing w:after="0" w:line="240" w:lineRule="auto"/>
              <w:jc w:val="right"/>
              <w:rPr>
                <w:rFonts w:ascii="Times New Roman" w:eastAsia="Times New Roman" w:hAnsi="Times New Roman" w:cs="Times New Roman"/>
                <w:color w:val="000000"/>
                <w:lang w:val="en-US"/>
              </w:rPr>
            </w:pPr>
            <w:r w:rsidRPr="0090381C">
              <w:rPr>
                <w:rFonts w:ascii="Times New Roman" w:eastAsia="Times New Roman" w:hAnsi="Times New Roman" w:cs="Times New Roman"/>
                <w:color w:val="000000"/>
                <w:lang w:val="en-US"/>
              </w:rPr>
              <w:t>-</w:t>
            </w:r>
            <w:r w:rsidR="006B46DB">
              <w:rPr>
                <w:rFonts w:ascii="Times New Roman" w:eastAsia="Times New Roman" w:hAnsi="Times New Roman" w:cs="Times New Roman"/>
                <w:color w:val="000000"/>
                <w:lang w:val="en-US"/>
              </w:rPr>
              <w:t>0</w:t>
            </w:r>
            <w:r w:rsidRPr="0090381C">
              <w:rPr>
                <w:rFonts w:ascii="Times New Roman" w:eastAsia="Times New Roman" w:hAnsi="Times New Roman" w:cs="Times New Roman"/>
                <w:color w:val="000000"/>
                <w:lang w:val="en-US"/>
              </w:rPr>
              <w:t>.323</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hideMark/>
          </w:tcPr>
          <w:p w14:paraId="15A4F47E" w14:textId="77777777" w:rsidR="00A26B1C" w:rsidRPr="002E7099" w:rsidRDefault="00A26B1C" w:rsidP="00A26B1C">
            <w:pPr>
              <w:spacing w:after="0" w:line="240" w:lineRule="auto"/>
              <w:jc w:val="right"/>
              <w:rPr>
                <w:rFonts w:ascii="Times New Roman" w:eastAsia="Times New Roman" w:hAnsi="Times New Roman" w:cs="Times New Roman"/>
                <w:color w:val="000000"/>
                <w:lang w:val="en-US"/>
              </w:rPr>
            </w:pPr>
            <w:r w:rsidRPr="002E7099">
              <w:rPr>
                <w:rFonts w:ascii="Times New Roman" w:eastAsia="Times New Roman" w:hAnsi="Times New Roman" w:cs="Times New Roman"/>
                <w:color w:val="000000"/>
                <w:lang w:val="en-US"/>
              </w:rPr>
              <w:t>0.000</w:t>
            </w:r>
          </w:p>
        </w:tc>
      </w:tr>
      <w:tr w:rsidR="00A26B1C" w:rsidRPr="002E7099" w14:paraId="09A1380F" w14:textId="77777777" w:rsidTr="00A14995">
        <w:trPr>
          <w:gridBefore w:val="1"/>
          <w:gridAfter w:val="1"/>
          <w:wBefore w:w="108" w:type="dxa"/>
          <w:wAfter w:w="807" w:type="dxa"/>
          <w:trHeight w:val="335"/>
        </w:trPr>
        <w:tc>
          <w:tcPr>
            <w:tcW w:w="1251" w:type="dxa"/>
            <w:tcBorders>
              <w:top w:val="nil"/>
              <w:left w:val="nil"/>
              <w:bottom w:val="nil"/>
              <w:right w:val="nil"/>
            </w:tcBorders>
            <w:shd w:val="clear" w:color="auto" w:fill="auto"/>
            <w:noWrap/>
            <w:vAlign w:val="bottom"/>
            <w:hideMark/>
          </w:tcPr>
          <w:p w14:paraId="3CDDDBB9" w14:textId="54BBB429" w:rsidR="00A26B1C" w:rsidRPr="002E7099" w:rsidRDefault="00A26B1C" w:rsidP="00A26B1C">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CONS</w:t>
            </w:r>
          </w:p>
        </w:tc>
        <w:tc>
          <w:tcPr>
            <w:tcW w:w="3358" w:type="dxa"/>
            <w:gridSpan w:val="2"/>
            <w:tcBorders>
              <w:top w:val="nil"/>
              <w:left w:val="nil"/>
              <w:bottom w:val="nil"/>
              <w:right w:val="nil"/>
            </w:tcBorders>
            <w:shd w:val="clear" w:color="auto" w:fill="auto"/>
            <w:noWrap/>
            <w:vAlign w:val="bottom"/>
          </w:tcPr>
          <w:p w14:paraId="264322CC" w14:textId="7D5E2C06" w:rsidR="00A26B1C" w:rsidRPr="002E7099" w:rsidRDefault="0040707F" w:rsidP="00A26B1C">
            <w:pPr>
              <w:spacing w:after="0" w:line="240" w:lineRule="auto"/>
              <w:jc w:val="right"/>
              <w:rPr>
                <w:rFonts w:ascii="Times New Roman" w:eastAsia="Times New Roman" w:hAnsi="Times New Roman" w:cs="Times New Roman"/>
                <w:color w:val="000000"/>
                <w:lang w:val="en-US"/>
              </w:rPr>
            </w:pPr>
            <w:r w:rsidRPr="0040707F">
              <w:rPr>
                <w:color w:val="000000"/>
              </w:rPr>
              <w:t>-.696</w:t>
            </w:r>
            <w:r w:rsidR="00A26B1C" w:rsidRPr="00341848">
              <w:rPr>
                <w:rFonts w:eastAsia="Times New Roman" w:cstheme="majorHAnsi"/>
                <w:szCs w:val="26"/>
              </w:rPr>
              <w:t>*</w:t>
            </w:r>
          </w:p>
        </w:tc>
        <w:tc>
          <w:tcPr>
            <w:tcW w:w="1234" w:type="dxa"/>
            <w:tcBorders>
              <w:top w:val="nil"/>
              <w:left w:val="nil"/>
              <w:bottom w:val="nil"/>
              <w:right w:val="nil"/>
            </w:tcBorders>
            <w:shd w:val="clear" w:color="auto" w:fill="auto"/>
            <w:noWrap/>
            <w:vAlign w:val="bottom"/>
          </w:tcPr>
          <w:p w14:paraId="789AB6BC" w14:textId="0B2543F8" w:rsidR="00A26B1C" w:rsidRPr="002E7099" w:rsidRDefault="00A7059D" w:rsidP="00A26B1C">
            <w:pPr>
              <w:spacing w:after="0" w:line="240" w:lineRule="auto"/>
              <w:jc w:val="right"/>
              <w:rPr>
                <w:rFonts w:ascii="Times New Roman" w:eastAsia="Times New Roman" w:hAnsi="Times New Roman" w:cs="Times New Roman"/>
                <w:color w:val="000000"/>
                <w:lang w:val="en-US"/>
              </w:rPr>
            </w:pPr>
            <w:r>
              <w:rPr>
                <w:color w:val="000000"/>
              </w:rPr>
              <w:t>0.08</w:t>
            </w:r>
            <w:r w:rsidR="00A26B1C">
              <w:rPr>
                <w:color w:val="000000"/>
              </w:rPr>
              <w:t>0</w:t>
            </w:r>
          </w:p>
        </w:tc>
        <w:tc>
          <w:tcPr>
            <w:tcW w:w="2468" w:type="dxa"/>
            <w:gridSpan w:val="2"/>
            <w:tcBorders>
              <w:top w:val="nil"/>
              <w:left w:val="nil"/>
              <w:bottom w:val="nil"/>
              <w:right w:val="nil"/>
            </w:tcBorders>
            <w:shd w:val="clear" w:color="auto" w:fill="auto"/>
            <w:noWrap/>
            <w:vAlign w:val="bottom"/>
            <w:hideMark/>
          </w:tcPr>
          <w:p w14:paraId="62614733" w14:textId="5DE8DCCB" w:rsidR="00A26B1C" w:rsidRPr="002E7099" w:rsidRDefault="006B46DB" w:rsidP="00A26B1C">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90381C" w:rsidRPr="0090381C">
              <w:rPr>
                <w:rFonts w:ascii="Times New Roman" w:eastAsia="Times New Roman" w:hAnsi="Times New Roman" w:cs="Times New Roman"/>
                <w:color w:val="000000"/>
                <w:lang w:val="en-US"/>
              </w:rPr>
              <w:t>.078</w:t>
            </w:r>
          </w:p>
        </w:tc>
        <w:tc>
          <w:tcPr>
            <w:tcW w:w="1234" w:type="dxa"/>
            <w:tcBorders>
              <w:top w:val="nil"/>
              <w:left w:val="nil"/>
              <w:bottom w:val="nil"/>
              <w:right w:val="nil"/>
            </w:tcBorders>
            <w:shd w:val="clear" w:color="auto" w:fill="auto"/>
            <w:noWrap/>
            <w:vAlign w:val="bottom"/>
            <w:hideMark/>
          </w:tcPr>
          <w:p w14:paraId="48F567F0" w14:textId="51E63144" w:rsidR="00A26B1C" w:rsidRPr="002E7099" w:rsidRDefault="004502D5" w:rsidP="00A26B1C">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0.356</w:t>
            </w:r>
          </w:p>
        </w:tc>
      </w:tr>
      <w:tr w:rsidR="00103785" w:rsidRPr="00341848" w14:paraId="51846E3A" w14:textId="77777777" w:rsidTr="00A14995">
        <w:trPr>
          <w:trHeight w:val="276"/>
        </w:trPr>
        <w:tc>
          <w:tcPr>
            <w:tcW w:w="3258" w:type="dxa"/>
            <w:gridSpan w:val="3"/>
            <w:tcBorders>
              <w:top w:val="single" w:sz="8" w:space="0" w:color="auto"/>
              <w:left w:val="nil"/>
              <w:bottom w:val="nil"/>
              <w:right w:val="nil"/>
            </w:tcBorders>
            <w:shd w:val="clear" w:color="auto" w:fill="auto"/>
            <w:noWrap/>
            <w:vAlign w:val="bottom"/>
            <w:hideMark/>
          </w:tcPr>
          <w:p w14:paraId="7D97CFF6" w14:textId="77777777" w:rsidR="00103785" w:rsidRPr="00341848" w:rsidRDefault="00103785" w:rsidP="00254681">
            <w:pPr>
              <w:spacing w:after="0" w:line="360" w:lineRule="auto"/>
              <w:rPr>
                <w:rFonts w:eastAsia="Times New Roman" w:cstheme="majorHAnsi"/>
                <w:szCs w:val="26"/>
              </w:rPr>
            </w:pPr>
            <w:r w:rsidRPr="00341848">
              <w:rPr>
                <w:rFonts w:eastAsia="Times New Roman" w:cstheme="majorHAnsi"/>
                <w:szCs w:val="26"/>
              </w:rPr>
              <w:t>Số quan sát</w:t>
            </w:r>
          </w:p>
        </w:tc>
        <w:tc>
          <w:tcPr>
            <w:tcW w:w="3660" w:type="dxa"/>
            <w:gridSpan w:val="3"/>
            <w:tcBorders>
              <w:top w:val="single" w:sz="8" w:space="0" w:color="auto"/>
              <w:left w:val="nil"/>
              <w:bottom w:val="nil"/>
              <w:right w:val="nil"/>
            </w:tcBorders>
            <w:shd w:val="clear" w:color="auto" w:fill="auto"/>
            <w:noWrap/>
            <w:vAlign w:val="bottom"/>
            <w:hideMark/>
          </w:tcPr>
          <w:p w14:paraId="4412064E" w14:textId="0869F8E4" w:rsidR="00103785" w:rsidRPr="00341848" w:rsidRDefault="00103785" w:rsidP="00254681">
            <w:pPr>
              <w:spacing w:after="0" w:line="360" w:lineRule="auto"/>
              <w:jc w:val="center"/>
              <w:rPr>
                <w:rFonts w:eastAsia="Times New Roman" w:cstheme="majorHAnsi"/>
                <w:szCs w:val="26"/>
              </w:rPr>
            </w:pPr>
            <w:r>
              <w:rPr>
                <w:rFonts w:eastAsia="Times New Roman" w:cstheme="majorHAnsi"/>
                <w:szCs w:val="26"/>
              </w:rPr>
              <w:t>1953</w:t>
            </w:r>
          </w:p>
        </w:tc>
        <w:tc>
          <w:tcPr>
            <w:tcW w:w="3542" w:type="dxa"/>
            <w:gridSpan w:val="3"/>
            <w:tcBorders>
              <w:top w:val="single" w:sz="8" w:space="0" w:color="auto"/>
              <w:left w:val="nil"/>
              <w:bottom w:val="nil"/>
              <w:right w:val="nil"/>
            </w:tcBorders>
            <w:shd w:val="clear" w:color="auto" w:fill="auto"/>
            <w:noWrap/>
            <w:vAlign w:val="bottom"/>
            <w:hideMark/>
          </w:tcPr>
          <w:p w14:paraId="0288B495" w14:textId="6B1F9374" w:rsidR="00103785" w:rsidRPr="00103785" w:rsidRDefault="00103785" w:rsidP="00254681">
            <w:pPr>
              <w:spacing w:after="0" w:line="360" w:lineRule="auto"/>
              <w:jc w:val="center"/>
              <w:rPr>
                <w:rFonts w:eastAsia="Times New Roman" w:cstheme="majorHAnsi"/>
                <w:szCs w:val="26"/>
                <w:lang w:val="en-US"/>
              </w:rPr>
            </w:pPr>
            <w:r>
              <w:rPr>
                <w:rFonts w:eastAsia="Times New Roman" w:cstheme="majorHAnsi"/>
                <w:szCs w:val="26"/>
                <w:lang w:val="en-US"/>
              </w:rPr>
              <w:t>1953</w:t>
            </w:r>
          </w:p>
        </w:tc>
      </w:tr>
      <w:tr w:rsidR="00103785" w:rsidRPr="00341848" w14:paraId="6409F3BD" w14:textId="77777777" w:rsidTr="00A14995">
        <w:trPr>
          <w:trHeight w:val="288"/>
        </w:trPr>
        <w:tc>
          <w:tcPr>
            <w:tcW w:w="3258" w:type="dxa"/>
            <w:gridSpan w:val="3"/>
            <w:tcBorders>
              <w:top w:val="nil"/>
              <w:left w:val="nil"/>
              <w:bottom w:val="single" w:sz="8" w:space="0" w:color="auto"/>
              <w:right w:val="nil"/>
            </w:tcBorders>
            <w:shd w:val="clear" w:color="auto" w:fill="auto"/>
            <w:noWrap/>
            <w:vAlign w:val="bottom"/>
            <w:hideMark/>
          </w:tcPr>
          <w:p w14:paraId="60858674" w14:textId="77777777" w:rsidR="00103785" w:rsidRPr="00341848" w:rsidRDefault="00103785" w:rsidP="00254681">
            <w:pPr>
              <w:spacing w:after="0" w:line="360" w:lineRule="auto"/>
              <w:rPr>
                <w:rFonts w:eastAsia="Times New Roman" w:cstheme="majorHAnsi"/>
                <w:szCs w:val="26"/>
              </w:rPr>
            </w:pPr>
            <w:r w:rsidRPr="00341848">
              <w:rPr>
                <w:rFonts w:eastAsia="Times New Roman" w:cstheme="majorHAnsi"/>
                <w:szCs w:val="26"/>
              </w:rPr>
              <w:t xml:space="preserve"> R</w:t>
            </w:r>
            <w:r w:rsidRPr="00341848">
              <w:rPr>
                <w:rFonts w:eastAsia="Times New Roman" w:cstheme="majorHAnsi"/>
                <w:szCs w:val="26"/>
                <w:vertAlign w:val="superscript"/>
                <w:lang w:val="en-US"/>
              </w:rPr>
              <w:t>2</w:t>
            </w:r>
            <w:r w:rsidRPr="00341848">
              <w:rPr>
                <w:rFonts w:eastAsia="Times New Roman" w:cstheme="majorHAnsi"/>
                <w:szCs w:val="26"/>
              </w:rPr>
              <w:t xml:space="preserve"> </w:t>
            </w:r>
          </w:p>
        </w:tc>
        <w:tc>
          <w:tcPr>
            <w:tcW w:w="3660" w:type="dxa"/>
            <w:gridSpan w:val="3"/>
            <w:tcBorders>
              <w:top w:val="nil"/>
              <w:left w:val="nil"/>
              <w:bottom w:val="single" w:sz="8" w:space="0" w:color="auto"/>
              <w:right w:val="nil"/>
            </w:tcBorders>
            <w:shd w:val="clear" w:color="auto" w:fill="auto"/>
            <w:noWrap/>
            <w:vAlign w:val="bottom"/>
            <w:hideMark/>
          </w:tcPr>
          <w:p w14:paraId="7D8409BF" w14:textId="71A8E32A" w:rsidR="00103785" w:rsidRPr="00341848" w:rsidRDefault="006F480D" w:rsidP="006F480D">
            <w:pPr>
              <w:spacing w:after="0" w:line="360" w:lineRule="auto"/>
              <w:jc w:val="center"/>
              <w:rPr>
                <w:rFonts w:eastAsia="Times New Roman" w:cstheme="majorHAnsi"/>
                <w:szCs w:val="26"/>
              </w:rPr>
            </w:pPr>
            <w:r>
              <w:rPr>
                <w:rFonts w:eastAsia="Times New Roman" w:cstheme="majorHAnsi"/>
                <w:szCs w:val="26"/>
                <w:lang w:val="en-US"/>
              </w:rPr>
              <w:t>12</w:t>
            </w:r>
            <w:r w:rsidR="00103785" w:rsidRPr="00341848">
              <w:rPr>
                <w:rFonts w:eastAsia="Times New Roman" w:cstheme="majorHAnsi"/>
                <w:szCs w:val="26"/>
              </w:rPr>
              <w:t>%</w:t>
            </w:r>
          </w:p>
        </w:tc>
        <w:tc>
          <w:tcPr>
            <w:tcW w:w="3542" w:type="dxa"/>
            <w:gridSpan w:val="3"/>
            <w:tcBorders>
              <w:top w:val="nil"/>
              <w:left w:val="nil"/>
              <w:bottom w:val="single" w:sz="8" w:space="0" w:color="auto"/>
              <w:right w:val="nil"/>
            </w:tcBorders>
            <w:shd w:val="clear" w:color="auto" w:fill="auto"/>
            <w:vAlign w:val="bottom"/>
            <w:hideMark/>
          </w:tcPr>
          <w:p w14:paraId="4D76DD05" w14:textId="189BF3BC" w:rsidR="00103785" w:rsidRPr="00341848" w:rsidRDefault="00AC2A1F" w:rsidP="00103785">
            <w:pPr>
              <w:spacing w:after="0" w:line="360" w:lineRule="auto"/>
              <w:jc w:val="center"/>
              <w:rPr>
                <w:rFonts w:eastAsia="Times New Roman" w:cstheme="majorHAnsi"/>
                <w:szCs w:val="26"/>
              </w:rPr>
            </w:pPr>
            <w:r>
              <w:rPr>
                <w:rFonts w:eastAsia="Times New Roman" w:cstheme="majorHAnsi"/>
                <w:szCs w:val="26"/>
                <w:lang w:val="en-US"/>
              </w:rPr>
              <w:t>33</w:t>
            </w:r>
            <w:r>
              <w:rPr>
                <w:rFonts w:eastAsia="Times New Roman" w:cstheme="majorHAnsi"/>
                <w:szCs w:val="26"/>
              </w:rPr>
              <w:t>,31</w:t>
            </w:r>
            <w:r w:rsidR="00103785" w:rsidRPr="00341848">
              <w:rPr>
                <w:rFonts w:eastAsia="Times New Roman" w:cstheme="majorHAnsi"/>
                <w:szCs w:val="26"/>
              </w:rPr>
              <w:t>%</w:t>
            </w:r>
          </w:p>
        </w:tc>
      </w:tr>
      <w:tr w:rsidR="00103785" w:rsidRPr="00341848" w14:paraId="23E15730" w14:textId="77777777" w:rsidTr="00A14995">
        <w:trPr>
          <w:trHeight w:val="288"/>
        </w:trPr>
        <w:tc>
          <w:tcPr>
            <w:tcW w:w="3258" w:type="dxa"/>
            <w:gridSpan w:val="3"/>
            <w:vMerge w:val="restart"/>
            <w:tcBorders>
              <w:top w:val="single" w:sz="8" w:space="0" w:color="auto"/>
              <w:left w:val="nil"/>
              <w:bottom w:val="single" w:sz="8" w:space="0" w:color="000000"/>
              <w:right w:val="nil"/>
            </w:tcBorders>
            <w:shd w:val="clear" w:color="auto" w:fill="auto"/>
            <w:noWrap/>
            <w:vAlign w:val="center"/>
            <w:hideMark/>
          </w:tcPr>
          <w:p w14:paraId="6CD87B37" w14:textId="77777777" w:rsidR="00103785" w:rsidRPr="00341848" w:rsidRDefault="00103785" w:rsidP="00A14995">
            <w:pPr>
              <w:spacing w:after="0" w:line="360" w:lineRule="auto"/>
              <w:rPr>
                <w:rFonts w:eastAsia="Times New Roman" w:cstheme="majorHAnsi"/>
                <w:szCs w:val="26"/>
              </w:rPr>
            </w:pPr>
            <w:r w:rsidRPr="00341848">
              <w:rPr>
                <w:rFonts w:eastAsia="Times New Roman" w:cstheme="majorHAnsi"/>
                <w:szCs w:val="26"/>
              </w:rPr>
              <w:lastRenderedPageBreak/>
              <w:t>Kiểm định Hausman</w:t>
            </w:r>
          </w:p>
        </w:tc>
        <w:tc>
          <w:tcPr>
            <w:tcW w:w="7202" w:type="dxa"/>
            <w:gridSpan w:val="6"/>
            <w:tcBorders>
              <w:top w:val="single" w:sz="8" w:space="0" w:color="auto"/>
              <w:left w:val="nil"/>
              <w:bottom w:val="nil"/>
              <w:right w:val="nil"/>
            </w:tcBorders>
            <w:shd w:val="clear" w:color="auto" w:fill="auto"/>
            <w:noWrap/>
            <w:vAlign w:val="bottom"/>
            <w:hideMark/>
          </w:tcPr>
          <w:p w14:paraId="47FBD9DA" w14:textId="07A5627C" w:rsidR="00103785" w:rsidRPr="00341848" w:rsidRDefault="00103785" w:rsidP="003B2B52">
            <w:pPr>
              <w:spacing w:after="0" w:line="360" w:lineRule="auto"/>
              <w:jc w:val="center"/>
              <w:rPr>
                <w:rFonts w:eastAsia="Times New Roman" w:cstheme="majorHAnsi"/>
                <w:szCs w:val="26"/>
              </w:rPr>
            </w:pPr>
            <w:r>
              <w:rPr>
                <w:rFonts w:eastAsia="Times New Roman" w:cstheme="majorHAnsi"/>
                <w:szCs w:val="26"/>
              </w:rPr>
              <w:t>Chi2 (</w:t>
            </w:r>
            <w:r w:rsidR="003B2B52">
              <w:rPr>
                <w:rFonts w:eastAsia="Times New Roman" w:cstheme="majorHAnsi"/>
                <w:szCs w:val="26"/>
                <w:lang w:val="en-US"/>
              </w:rPr>
              <w:t>6</w:t>
            </w:r>
            <w:r w:rsidR="00A26B1C">
              <w:rPr>
                <w:rFonts w:eastAsia="Times New Roman" w:cstheme="majorHAnsi"/>
                <w:szCs w:val="26"/>
              </w:rPr>
              <w:t>)</w:t>
            </w:r>
            <w:r w:rsidR="00A14995">
              <w:rPr>
                <w:rFonts w:eastAsia="Times New Roman" w:cstheme="majorHAnsi"/>
                <w:szCs w:val="26"/>
                <w:lang w:val="en-US"/>
              </w:rPr>
              <w:t xml:space="preserve"> </w:t>
            </w:r>
            <w:r w:rsidR="003B2B52">
              <w:rPr>
                <w:rFonts w:eastAsia="Times New Roman" w:cstheme="majorHAnsi"/>
                <w:szCs w:val="26"/>
              </w:rPr>
              <w:t>= 60.81</w:t>
            </w:r>
          </w:p>
        </w:tc>
      </w:tr>
      <w:tr w:rsidR="00103785" w:rsidRPr="00341848" w14:paraId="3C021E12" w14:textId="77777777" w:rsidTr="00A14995">
        <w:trPr>
          <w:trHeight w:val="288"/>
        </w:trPr>
        <w:tc>
          <w:tcPr>
            <w:tcW w:w="3258" w:type="dxa"/>
            <w:gridSpan w:val="3"/>
            <w:vMerge/>
            <w:tcBorders>
              <w:top w:val="single" w:sz="8" w:space="0" w:color="auto"/>
              <w:left w:val="nil"/>
              <w:bottom w:val="single" w:sz="4" w:space="0" w:color="auto"/>
              <w:right w:val="nil"/>
            </w:tcBorders>
            <w:vAlign w:val="center"/>
            <w:hideMark/>
          </w:tcPr>
          <w:p w14:paraId="16DAA1DC" w14:textId="77777777" w:rsidR="00103785" w:rsidRPr="00341848" w:rsidRDefault="00103785" w:rsidP="00254681">
            <w:pPr>
              <w:spacing w:after="0" w:line="360" w:lineRule="auto"/>
              <w:rPr>
                <w:rFonts w:eastAsia="Times New Roman" w:cstheme="majorHAnsi"/>
                <w:szCs w:val="26"/>
              </w:rPr>
            </w:pPr>
          </w:p>
        </w:tc>
        <w:tc>
          <w:tcPr>
            <w:tcW w:w="7202" w:type="dxa"/>
            <w:gridSpan w:val="6"/>
            <w:tcBorders>
              <w:top w:val="nil"/>
              <w:left w:val="nil"/>
              <w:bottom w:val="single" w:sz="4" w:space="0" w:color="auto"/>
              <w:right w:val="nil"/>
            </w:tcBorders>
            <w:shd w:val="clear" w:color="auto" w:fill="auto"/>
            <w:noWrap/>
            <w:vAlign w:val="bottom"/>
            <w:hideMark/>
          </w:tcPr>
          <w:p w14:paraId="5C802B18" w14:textId="61C77596" w:rsidR="00103785" w:rsidRPr="00A26B1C" w:rsidRDefault="00103785" w:rsidP="00A26B1C">
            <w:pPr>
              <w:spacing w:after="0" w:line="360" w:lineRule="auto"/>
              <w:jc w:val="center"/>
              <w:rPr>
                <w:rFonts w:eastAsia="Times New Roman" w:cstheme="majorHAnsi"/>
                <w:szCs w:val="26"/>
                <w:lang w:val="en-US"/>
              </w:rPr>
            </w:pPr>
            <w:r w:rsidRPr="00341848">
              <w:rPr>
                <w:rFonts w:eastAsia="Times New Roman" w:cstheme="majorHAnsi"/>
                <w:szCs w:val="26"/>
              </w:rPr>
              <w:t>Prob&gt;C</w:t>
            </w:r>
            <w:r w:rsidR="00A26B1C">
              <w:rPr>
                <w:rFonts w:eastAsia="Times New Roman" w:cstheme="majorHAnsi"/>
                <w:szCs w:val="26"/>
              </w:rPr>
              <w:t>hi2: 0,</w:t>
            </w:r>
            <w:r w:rsidR="00A26B1C">
              <w:rPr>
                <w:rFonts w:eastAsia="Times New Roman" w:cstheme="majorHAnsi"/>
                <w:szCs w:val="26"/>
                <w:lang w:val="en-US"/>
              </w:rPr>
              <w:t>000</w:t>
            </w:r>
          </w:p>
        </w:tc>
      </w:tr>
      <w:tr w:rsidR="00A14995" w:rsidRPr="00341848" w14:paraId="73949D41" w14:textId="77777777" w:rsidTr="00A14995">
        <w:trPr>
          <w:trHeight w:val="288"/>
        </w:trPr>
        <w:tc>
          <w:tcPr>
            <w:tcW w:w="3258" w:type="dxa"/>
            <w:gridSpan w:val="3"/>
            <w:tcBorders>
              <w:top w:val="single" w:sz="4" w:space="0" w:color="auto"/>
              <w:left w:val="nil"/>
              <w:right w:val="nil"/>
            </w:tcBorders>
            <w:vAlign w:val="center"/>
          </w:tcPr>
          <w:p w14:paraId="38487706" w14:textId="52478249" w:rsidR="00A14995" w:rsidRPr="00341848" w:rsidRDefault="00A14995" w:rsidP="00A14995">
            <w:pPr>
              <w:spacing w:after="0" w:line="360" w:lineRule="auto"/>
              <w:rPr>
                <w:rFonts w:eastAsia="Times New Roman" w:cstheme="majorHAnsi"/>
                <w:szCs w:val="26"/>
              </w:rPr>
            </w:pPr>
            <w:r w:rsidRPr="00341848">
              <w:rPr>
                <w:rFonts w:eastAsia="Times New Roman" w:cstheme="majorHAnsi"/>
                <w:szCs w:val="26"/>
              </w:rPr>
              <w:t xml:space="preserve">Kiểm định </w:t>
            </w:r>
            <w:r w:rsidRPr="00A14995">
              <w:rPr>
                <w:rFonts w:eastAsia="Times New Roman" w:cstheme="majorHAnsi"/>
                <w:szCs w:val="26"/>
              </w:rPr>
              <w:t>Modified Wald</w:t>
            </w:r>
          </w:p>
        </w:tc>
        <w:tc>
          <w:tcPr>
            <w:tcW w:w="7202" w:type="dxa"/>
            <w:gridSpan w:val="6"/>
            <w:tcBorders>
              <w:top w:val="single" w:sz="4" w:space="0" w:color="auto"/>
              <w:left w:val="nil"/>
              <w:right w:val="nil"/>
            </w:tcBorders>
            <w:shd w:val="clear" w:color="auto" w:fill="auto"/>
            <w:noWrap/>
            <w:vAlign w:val="bottom"/>
          </w:tcPr>
          <w:p w14:paraId="4F0AFCE4" w14:textId="0D56EF07" w:rsidR="00A14995" w:rsidRPr="00341848" w:rsidRDefault="00A14995" w:rsidP="00A14995">
            <w:pPr>
              <w:spacing w:after="0" w:line="360" w:lineRule="auto"/>
              <w:jc w:val="center"/>
              <w:rPr>
                <w:rFonts w:eastAsia="Times New Roman" w:cstheme="majorHAnsi"/>
                <w:szCs w:val="26"/>
              </w:rPr>
            </w:pPr>
            <w:r>
              <w:rPr>
                <w:rFonts w:eastAsia="Times New Roman" w:cstheme="majorHAnsi"/>
                <w:szCs w:val="26"/>
              </w:rPr>
              <w:t>Chi2 (</w:t>
            </w:r>
            <w:r>
              <w:rPr>
                <w:rFonts w:eastAsia="Times New Roman" w:cstheme="majorHAnsi"/>
                <w:szCs w:val="26"/>
                <w:lang w:val="en-US"/>
              </w:rPr>
              <w:t>2</w:t>
            </w:r>
            <w:r>
              <w:rPr>
                <w:rFonts w:eastAsia="Times New Roman" w:cstheme="majorHAnsi"/>
                <w:szCs w:val="26"/>
              </w:rPr>
              <w:t>7</w:t>
            </w:r>
            <w:r>
              <w:rPr>
                <w:rFonts w:eastAsia="Times New Roman" w:cstheme="majorHAnsi"/>
                <w:szCs w:val="26"/>
                <w:lang w:val="en-US"/>
              </w:rPr>
              <w:t>9</w:t>
            </w:r>
            <w:r>
              <w:rPr>
                <w:rFonts w:eastAsia="Times New Roman" w:cstheme="majorHAnsi"/>
                <w:szCs w:val="26"/>
              </w:rPr>
              <w:t>)</w:t>
            </w:r>
            <w:r>
              <w:rPr>
                <w:rFonts w:eastAsia="Times New Roman" w:cstheme="majorHAnsi"/>
                <w:szCs w:val="26"/>
                <w:lang w:val="en-US"/>
              </w:rPr>
              <w:t xml:space="preserve"> </w:t>
            </w:r>
            <w:r>
              <w:rPr>
                <w:rFonts w:eastAsia="Times New Roman" w:cstheme="majorHAnsi"/>
                <w:szCs w:val="26"/>
              </w:rPr>
              <w:t xml:space="preserve">= </w:t>
            </w:r>
            <w:r w:rsidR="004B6BA4" w:rsidRPr="004B6BA4">
              <w:rPr>
                <w:rFonts w:eastAsia="Times New Roman" w:cstheme="majorHAnsi"/>
                <w:szCs w:val="26"/>
              </w:rPr>
              <w:t>61180.95</w:t>
            </w:r>
          </w:p>
        </w:tc>
      </w:tr>
      <w:tr w:rsidR="00A14995" w:rsidRPr="00341848" w14:paraId="142508C0" w14:textId="77777777" w:rsidTr="00A14995">
        <w:trPr>
          <w:trHeight w:val="288"/>
        </w:trPr>
        <w:tc>
          <w:tcPr>
            <w:tcW w:w="3258" w:type="dxa"/>
            <w:gridSpan w:val="3"/>
            <w:tcBorders>
              <w:left w:val="nil"/>
              <w:bottom w:val="single" w:sz="4" w:space="0" w:color="auto"/>
              <w:right w:val="nil"/>
            </w:tcBorders>
            <w:vAlign w:val="center"/>
          </w:tcPr>
          <w:p w14:paraId="2761AC11" w14:textId="77777777" w:rsidR="00A14995" w:rsidRPr="00341848" w:rsidRDefault="00A14995" w:rsidP="00A14995">
            <w:pPr>
              <w:spacing w:after="0" w:line="360" w:lineRule="auto"/>
              <w:rPr>
                <w:rFonts w:eastAsia="Times New Roman" w:cstheme="majorHAnsi"/>
                <w:szCs w:val="26"/>
              </w:rPr>
            </w:pPr>
          </w:p>
        </w:tc>
        <w:tc>
          <w:tcPr>
            <w:tcW w:w="7202" w:type="dxa"/>
            <w:gridSpan w:val="6"/>
            <w:tcBorders>
              <w:left w:val="nil"/>
              <w:bottom w:val="single" w:sz="4" w:space="0" w:color="auto"/>
              <w:right w:val="nil"/>
            </w:tcBorders>
            <w:shd w:val="clear" w:color="auto" w:fill="auto"/>
            <w:noWrap/>
            <w:vAlign w:val="bottom"/>
          </w:tcPr>
          <w:p w14:paraId="6912DFEA" w14:textId="392DD29C" w:rsidR="00A14995" w:rsidRPr="00341848" w:rsidRDefault="00A14995" w:rsidP="00A14995">
            <w:pPr>
              <w:spacing w:after="0" w:line="360" w:lineRule="auto"/>
              <w:jc w:val="center"/>
              <w:rPr>
                <w:rFonts w:eastAsia="Times New Roman" w:cstheme="majorHAnsi"/>
                <w:szCs w:val="26"/>
              </w:rPr>
            </w:pPr>
            <w:r w:rsidRPr="00341848">
              <w:rPr>
                <w:rFonts w:eastAsia="Times New Roman" w:cstheme="majorHAnsi"/>
                <w:szCs w:val="26"/>
              </w:rPr>
              <w:t>Prob&gt;C</w:t>
            </w:r>
            <w:r>
              <w:rPr>
                <w:rFonts w:eastAsia="Times New Roman" w:cstheme="majorHAnsi"/>
                <w:szCs w:val="26"/>
              </w:rPr>
              <w:t>hi2: 0,</w:t>
            </w:r>
            <w:r>
              <w:rPr>
                <w:rFonts w:eastAsia="Times New Roman" w:cstheme="majorHAnsi"/>
                <w:szCs w:val="26"/>
                <w:lang w:val="en-US"/>
              </w:rPr>
              <w:t>000</w:t>
            </w:r>
          </w:p>
        </w:tc>
      </w:tr>
      <w:tr w:rsidR="00A14995" w:rsidRPr="00341848" w14:paraId="081B4E34" w14:textId="77777777" w:rsidTr="00A14995">
        <w:trPr>
          <w:trHeight w:val="288"/>
        </w:trPr>
        <w:tc>
          <w:tcPr>
            <w:tcW w:w="3258" w:type="dxa"/>
            <w:gridSpan w:val="3"/>
            <w:tcBorders>
              <w:top w:val="single" w:sz="4" w:space="0" w:color="auto"/>
              <w:left w:val="nil"/>
              <w:bottom w:val="single" w:sz="4" w:space="0" w:color="auto"/>
              <w:right w:val="nil"/>
            </w:tcBorders>
            <w:vAlign w:val="center"/>
          </w:tcPr>
          <w:p w14:paraId="49C285C6" w14:textId="71021A8C" w:rsidR="00A14995" w:rsidRPr="00A14995" w:rsidRDefault="00A14995" w:rsidP="00A14995">
            <w:pPr>
              <w:spacing w:after="0" w:line="360" w:lineRule="auto"/>
              <w:rPr>
                <w:rFonts w:eastAsia="Times New Roman" w:cstheme="majorHAnsi"/>
                <w:szCs w:val="26"/>
                <w:lang w:val="en-US"/>
              </w:rPr>
            </w:pPr>
            <w:r w:rsidRPr="00A14995">
              <w:rPr>
                <w:rFonts w:eastAsia="Times New Roman" w:cstheme="majorHAnsi"/>
                <w:szCs w:val="26"/>
              </w:rPr>
              <w:t>Kiểm định</w:t>
            </w:r>
            <w:r>
              <w:rPr>
                <w:rFonts w:eastAsia="Times New Roman" w:cstheme="majorHAnsi"/>
                <w:szCs w:val="26"/>
                <w:lang w:val="en-US"/>
              </w:rPr>
              <w:t xml:space="preserve"> </w:t>
            </w:r>
            <w:r w:rsidRPr="00A14995">
              <w:rPr>
                <w:rFonts w:eastAsia="Times New Roman" w:cstheme="majorHAnsi"/>
                <w:szCs w:val="26"/>
                <w:lang w:val="en-US"/>
              </w:rPr>
              <w:t>Wooldridge</w:t>
            </w:r>
          </w:p>
        </w:tc>
        <w:tc>
          <w:tcPr>
            <w:tcW w:w="7202" w:type="dxa"/>
            <w:gridSpan w:val="6"/>
            <w:tcBorders>
              <w:top w:val="single" w:sz="4" w:space="0" w:color="auto"/>
              <w:left w:val="nil"/>
              <w:bottom w:val="single" w:sz="4" w:space="0" w:color="auto"/>
              <w:right w:val="nil"/>
            </w:tcBorders>
            <w:shd w:val="clear" w:color="auto" w:fill="auto"/>
            <w:noWrap/>
            <w:vAlign w:val="bottom"/>
          </w:tcPr>
          <w:p w14:paraId="15EE69C8" w14:textId="5DBCE50F" w:rsidR="00A14995" w:rsidRDefault="00A14995" w:rsidP="00A14995">
            <w:pPr>
              <w:spacing w:after="0" w:line="360" w:lineRule="auto"/>
              <w:jc w:val="center"/>
              <w:rPr>
                <w:rFonts w:eastAsia="Times New Roman" w:cstheme="majorHAnsi"/>
                <w:szCs w:val="26"/>
              </w:rPr>
            </w:pPr>
            <w:r>
              <w:rPr>
                <w:rFonts w:eastAsia="Times New Roman" w:cstheme="majorHAnsi"/>
                <w:szCs w:val="26"/>
                <w:lang w:val="en-US"/>
              </w:rPr>
              <w:t>F(1, 278) =</w:t>
            </w:r>
            <w:r w:rsidR="00004E40" w:rsidRPr="00004E40">
              <w:rPr>
                <w:rFonts w:eastAsia="Times New Roman" w:cstheme="majorHAnsi"/>
                <w:szCs w:val="26"/>
              </w:rPr>
              <w:t>15.088</w:t>
            </w:r>
          </w:p>
          <w:p w14:paraId="4692C84F" w14:textId="143C5EE0" w:rsidR="00A14995" w:rsidRPr="00341848" w:rsidRDefault="00A14995" w:rsidP="00A14995">
            <w:pPr>
              <w:spacing w:after="0" w:line="360" w:lineRule="auto"/>
              <w:jc w:val="center"/>
              <w:rPr>
                <w:rFonts w:eastAsia="Times New Roman" w:cstheme="majorHAnsi"/>
                <w:szCs w:val="26"/>
              </w:rPr>
            </w:pPr>
            <w:r>
              <w:rPr>
                <w:rFonts w:eastAsia="Times New Roman" w:cstheme="majorHAnsi"/>
                <w:szCs w:val="26"/>
              </w:rPr>
              <w:t>Prob&gt;</w:t>
            </w:r>
            <w:r>
              <w:rPr>
                <w:rFonts w:eastAsia="Times New Roman" w:cstheme="majorHAnsi"/>
                <w:szCs w:val="26"/>
                <w:lang w:val="en-US"/>
              </w:rPr>
              <w:t>F</w:t>
            </w:r>
            <w:r>
              <w:rPr>
                <w:rFonts w:eastAsia="Times New Roman" w:cstheme="majorHAnsi"/>
                <w:szCs w:val="26"/>
              </w:rPr>
              <w:t xml:space="preserve">: </w:t>
            </w:r>
            <w:r w:rsidR="000711E7" w:rsidRPr="000711E7">
              <w:rPr>
                <w:rFonts w:eastAsia="Times New Roman" w:cstheme="majorHAnsi"/>
                <w:szCs w:val="26"/>
              </w:rPr>
              <w:t>0.0001</w:t>
            </w:r>
          </w:p>
        </w:tc>
      </w:tr>
    </w:tbl>
    <w:p w14:paraId="3FD95472" w14:textId="77777777" w:rsidR="00784256" w:rsidRPr="00341848" w:rsidRDefault="00784256" w:rsidP="004173BF">
      <w:pPr>
        <w:spacing w:after="0" w:line="360" w:lineRule="auto"/>
        <w:rPr>
          <w:rFonts w:cstheme="majorHAnsi"/>
          <w:i/>
          <w:szCs w:val="26"/>
          <w:lang w:val="tr-TR"/>
        </w:rPr>
      </w:pPr>
    </w:p>
    <w:p w14:paraId="24820646" w14:textId="77777777" w:rsidR="004173BF" w:rsidRPr="00341848" w:rsidRDefault="004173BF" w:rsidP="004173BF">
      <w:pPr>
        <w:spacing w:after="0" w:line="360" w:lineRule="auto"/>
        <w:rPr>
          <w:rFonts w:cstheme="majorHAnsi"/>
          <w:i/>
          <w:szCs w:val="26"/>
          <w:lang w:val="tr-TR"/>
        </w:rPr>
      </w:pPr>
      <w:r w:rsidRPr="00341848">
        <w:rPr>
          <w:rFonts w:cstheme="majorHAnsi"/>
          <w:i/>
          <w:szCs w:val="26"/>
          <w:lang w:val="tr-TR"/>
        </w:rPr>
        <w:t>*, **, *** tương ứng với mức ý nghĩa 10%, 5%, 1%</w:t>
      </w:r>
    </w:p>
    <w:p w14:paraId="2B378366" w14:textId="77777777" w:rsidR="0004495E" w:rsidRPr="00341848" w:rsidRDefault="0004495E" w:rsidP="00361353">
      <w:pPr>
        <w:spacing w:after="0" w:line="360" w:lineRule="auto"/>
        <w:jc w:val="right"/>
        <w:rPr>
          <w:rFonts w:cstheme="majorHAnsi"/>
          <w:i/>
          <w:szCs w:val="26"/>
          <w:lang w:val="tr-TR"/>
        </w:rPr>
      </w:pPr>
      <w:r w:rsidRPr="00341848">
        <w:rPr>
          <w:rFonts w:cstheme="majorHAnsi"/>
          <w:i/>
          <w:szCs w:val="26"/>
          <w:lang w:val="tr-TR"/>
        </w:rPr>
        <w:t>Nguồn: Phân tích dữ liệu từ phần mềm STATA</w:t>
      </w:r>
    </w:p>
    <w:p w14:paraId="446AC9C8" w14:textId="11B8DF63" w:rsidR="0004495E" w:rsidRPr="00341848" w:rsidRDefault="00254681" w:rsidP="00361353">
      <w:pPr>
        <w:spacing w:after="0" w:line="360" w:lineRule="auto"/>
        <w:rPr>
          <w:rFonts w:cstheme="majorHAnsi"/>
          <w:szCs w:val="26"/>
          <w:lang w:val="tr-TR"/>
        </w:rPr>
      </w:pPr>
      <w:r>
        <w:rPr>
          <w:rFonts w:cstheme="majorHAnsi"/>
          <w:szCs w:val="26"/>
          <w:lang w:val="tr-TR"/>
        </w:rPr>
        <w:t>M</w:t>
      </w:r>
      <w:r w:rsidR="00EF5658" w:rsidRPr="00341848">
        <w:rPr>
          <w:rFonts w:cstheme="majorHAnsi"/>
          <w:szCs w:val="26"/>
          <w:lang w:val="tr-TR"/>
        </w:rPr>
        <w:t xml:space="preserve">ô hình Pooled OLS, dữ liệu chéo bị ràng buộc quá chặt </w:t>
      </w:r>
      <w:r w:rsidR="004173BF" w:rsidRPr="00341848">
        <w:rPr>
          <w:rFonts w:cstheme="majorHAnsi"/>
          <w:szCs w:val="26"/>
          <w:lang w:val="tr-TR"/>
        </w:rPr>
        <w:t xml:space="preserve">chẽ </w:t>
      </w:r>
      <w:r w:rsidR="00EF5658" w:rsidRPr="00341848">
        <w:rPr>
          <w:rFonts w:cstheme="majorHAnsi"/>
          <w:szCs w:val="26"/>
          <w:lang w:val="tr-TR"/>
        </w:rPr>
        <w:t xml:space="preserve">về không gian và thời gian khi các hệ số hồi quy không đổi. Điều này khiến Pooled OLS không phản ánh được tác động của sự khác biệt </w:t>
      </w:r>
      <w:r w:rsidR="004173BF" w:rsidRPr="00341848">
        <w:rPr>
          <w:rFonts w:cstheme="majorHAnsi"/>
          <w:szCs w:val="26"/>
          <w:lang w:val="tr-TR"/>
        </w:rPr>
        <w:t xml:space="preserve">giữa </w:t>
      </w:r>
      <w:r w:rsidR="00EF5658" w:rsidRPr="00341848">
        <w:rPr>
          <w:rFonts w:cstheme="majorHAnsi"/>
          <w:szCs w:val="26"/>
          <w:lang w:val="tr-TR"/>
        </w:rPr>
        <w:t>mỗi công ty niêm yết, dẫn đến mức ảnh hưởng thật sự của các biến độc lập lên biến phụ thuộc giảm mạnh và kết quả có thể không phù hợp với điều kiện thực tế</w:t>
      </w:r>
      <w:r>
        <w:rPr>
          <w:rFonts w:cstheme="majorHAnsi"/>
          <w:szCs w:val="26"/>
          <w:lang w:val="tr-TR"/>
        </w:rPr>
        <w:t>.Vì vậy tác giả sử dụng mô hình hồi quy ngẫu nhiên và cố định phù hợp với dữ liệu bảng để phân tích kết quả nghiên cứu. Tác giả sử dụng</w:t>
      </w:r>
      <w:r w:rsidR="0004495E" w:rsidRPr="00341848">
        <w:rPr>
          <w:rFonts w:cstheme="majorHAnsi"/>
          <w:szCs w:val="26"/>
          <w:lang w:val="tr-TR"/>
        </w:rPr>
        <w:t xml:space="preserve"> kiểm định Hausman để lựa chọn giữa FEM và REM.</w:t>
      </w:r>
    </w:p>
    <w:p w14:paraId="4FCBE8E1" w14:textId="59ABDAA2" w:rsidR="0004495E" w:rsidRPr="00341848" w:rsidRDefault="0004495E" w:rsidP="00361353">
      <w:pPr>
        <w:spacing w:after="0" w:line="360" w:lineRule="auto"/>
        <w:rPr>
          <w:rFonts w:cstheme="majorHAnsi"/>
          <w:szCs w:val="26"/>
          <w:lang w:val="tr-TR"/>
        </w:rPr>
      </w:pPr>
      <w:r w:rsidRPr="00341848">
        <w:rPr>
          <w:rFonts w:cstheme="majorHAnsi"/>
          <w:szCs w:val="26"/>
          <w:lang w:val="tr-TR"/>
        </w:rPr>
        <w:t>Kết quả cho thấy</w:t>
      </w:r>
      <w:r w:rsidR="00C07341" w:rsidRPr="00341848">
        <w:rPr>
          <w:rFonts w:cstheme="majorHAnsi"/>
          <w:szCs w:val="26"/>
          <w:lang w:val="tr-TR"/>
        </w:rPr>
        <w:t>,</w:t>
      </w:r>
      <w:r w:rsidRPr="00341848">
        <w:rPr>
          <w:rFonts w:cstheme="majorHAnsi"/>
          <w:szCs w:val="26"/>
          <w:lang w:val="tr-TR"/>
        </w:rPr>
        <w:t xml:space="preserve"> mô hình các nhân tố tác độ</w:t>
      </w:r>
      <w:r w:rsidR="00254681">
        <w:rPr>
          <w:rFonts w:cstheme="majorHAnsi"/>
          <w:szCs w:val="26"/>
          <w:lang w:val="tr-TR"/>
        </w:rPr>
        <w:t>ng cố định (F</w:t>
      </w:r>
      <w:r w:rsidRPr="00341848">
        <w:rPr>
          <w:rFonts w:cstheme="majorHAnsi"/>
          <w:szCs w:val="26"/>
          <w:lang w:val="tr-TR"/>
        </w:rPr>
        <w:t>EM) là mô hình phù hợp cho nghiên cứu này vì Prob</w:t>
      </w:r>
      <w:r w:rsidR="00C07341" w:rsidRPr="00341848">
        <w:rPr>
          <w:rFonts w:cstheme="majorHAnsi"/>
          <w:szCs w:val="26"/>
          <w:lang w:val="tr-TR"/>
        </w:rPr>
        <w:t xml:space="preserve"> </w:t>
      </w:r>
      <w:r w:rsidRPr="00341848">
        <w:rPr>
          <w:rFonts w:cstheme="majorHAnsi"/>
          <w:szCs w:val="26"/>
          <w:lang w:val="tr-TR"/>
        </w:rPr>
        <w:t>&gt;</w:t>
      </w:r>
      <w:r w:rsidR="00C07341" w:rsidRPr="00341848">
        <w:rPr>
          <w:rFonts w:cstheme="majorHAnsi"/>
          <w:szCs w:val="26"/>
          <w:lang w:val="tr-TR"/>
        </w:rPr>
        <w:t xml:space="preserve"> </w:t>
      </w:r>
      <w:r w:rsidR="00254681">
        <w:rPr>
          <w:rFonts w:cstheme="majorHAnsi"/>
          <w:szCs w:val="26"/>
          <w:lang w:val="tr-TR"/>
        </w:rPr>
        <w:t>Chi2 = 0,000 &lt;</w:t>
      </w:r>
      <w:r w:rsidRPr="00341848">
        <w:rPr>
          <w:rFonts w:cstheme="majorHAnsi"/>
          <w:szCs w:val="26"/>
          <w:lang w:val="tr-TR"/>
        </w:rPr>
        <w:t xml:space="preserve"> 0,05. Tác giả sử </w:t>
      </w:r>
      <w:r w:rsidR="00254681">
        <w:rPr>
          <w:rFonts w:cstheme="majorHAnsi"/>
          <w:szCs w:val="26"/>
          <w:lang w:val="tr-TR"/>
        </w:rPr>
        <w:t xml:space="preserve">dụng kiểm định </w:t>
      </w:r>
      <w:r w:rsidR="00254681" w:rsidRPr="00A14995">
        <w:rPr>
          <w:rFonts w:eastAsia="Times New Roman" w:cstheme="majorHAnsi"/>
          <w:szCs w:val="26"/>
        </w:rPr>
        <w:t>Modified Wald</w:t>
      </w:r>
      <w:r w:rsidRPr="00341848">
        <w:rPr>
          <w:rFonts w:cstheme="majorHAnsi"/>
          <w:szCs w:val="26"/>
          <w:lang w:val="tr-TR"/>
        </w:rPr>
        <w:t xml:space="preserve"> </w:t>
      </w:r>
      <w:r w:rsidR="00254681">
        <w:rPr>
          <w:rFonts w:cstheme="majorHAnsi"/>
          <w:szCs w:val="26"/>
          <w:lang w:val="tr-TR"/>
        </w:rPr>
        <w:t xml:space="preserve">để đánh giá phương sai </w:t>
      </w:r>
      <w:r w:rsidRPr="00341848">
        <w:rPr>
          <w:rFonts w:cstheme="majorHAnsi"/>
          <w:szCs w:val="26"/>
          <w:lang w:val="tr-TR"/>
        </w:rPr>
        <w:t xml:space="preserve">đồng nhất, kiểm định </w:t>
      </w:r>
      <w:r w:rsidR="00254681" w:rsidRPr="00A14995">
        <w:rPr>
          <w:rFonts w:eastAsia="Times New Roman" w:cstheme="majorHAnsi"/>
          <w:szCs w:val="26"/>
          <w:lang w:val="en-US"/>
        </w:rPr>
        <w:t>Wooldridge</w:t>
      </w:r>
      <w:r w:rsidR="00254681" w:rsidRPr="00341848">
        <w:rPr>
          <w:rFonts w:cstheme="majorHAnsi"/>
          <w:szCs w:val="26"/>
          <w:lang w:val="tr-TR"/>
        </w:rPr>
        <w:t xml:space="preserve"> </w:t>
      </w:r>
      <w:r w:rsidRPr="00341848">
        <w:rPr>
          <w:rFonts w:cstheme="majorHAnsi"/>
          <w:szCs w:val="26"/>
          <w:lang w:val="tr-TR"/>
        </w:rPr>
        <w:t xml:space="preserve">để đánh giá </w:t>
      </w:r>
      <w:r w:rsidR="00254681">
        <w:rPr>
          <w:rFonts w:cstheme="majorHAnsi"/>
          <w:szCs w:val="26"/>
          <w:lang w:val="tr-TR"/>
        </w:rPr>
        <w:t xml:space="preserve">hiện tượng tự tương quan. </w:t>
      </w:r>
    </w:p>
    <w:p w14:paraId="5CB1D6CE" w14:textId="6B467F50" w:rsidR="001835A9" w:rsidRPr="00341848" w:rsidRDefault="0004495E" w:rsidP="00361353">
      <w:pPr>
        <w:spacing w:after="0" w:line="360" w:lineRule="auto"/>
        <w:rPr>
          <w:rFonts w:cstheme="majorHAnsi"/>
          <w:szCs w:val="26"/>
          <w:lang w:val="tr-TR"/>
        </w:rPr>
      </w:pPr>
      <w:r w:rsidRPr="00341848">
        <w:rPr>
          <w:rFonts w:cstheme="majorHAnsi"/>
          <w:szCs w:val="26"/>
          <w:lang w:val="tr-TR"/>
        </w:rPr>
        <w:t>Dựa trên mô hình nghiên cứu được chọ</w:t>
      </w:r>
      <w:r w:rsidR="00254681">
        <w:rPr>
          <w:rFonts w:cstheme="majorHAnsi"/>
          <w:szCs w:val="26"/>
          <w:lang w:val="tr-TR"/>
        </w:rPr>
        <w:t>n là mô hình F</w:t>
      </w:r>
      <w:r w:rsidRPr="00341848">
        <w:rPr>
          <w:rFonts w:cstheme="majorHAnsi"/>
          <w:szCs w:val="26"/>
          <w:lang w:val="tr-TR"/>
        </w:rPr>
        <w:t>EM, nghiên cứu ước lượng tham số hồi quy</w:t>
      </w:r>
      <w:r w:rsidR="001835A9" w:rsidRPr="00341848">
        <w:rPr>
          <w:rFonts w:cstheme="majorHAnsi"/>
          <w:szCs w:val="26"/>
          <w:lang w:val="tr-TR"/>
        </w:rPr>
        <w:t>.</w:t>
      </w:r>
    </w:p>
    <w:p w14:paraId="2D8A7939" w14:textId="40BBD159" w:rsidR="0004495E" w:rsidRPr="00341848" w:rsidRDefault="0004495E" w:rsidP="00361353">
      <w:pPr>
        <w:spacing w:after="0" w:line="360" w:lineRule="auto"/>
        <w:rPr>
          <w:rFonts w:cstheme="majorHAnsi"/>
          <w:szCs w:val="26"/>
          <w:lang w:val="tr-TR"/>
        </w:rPr>
      </w:pPr>
      <w:r w:rsidRPr="00341848">
        <w:rPr>
          <w:rFonts w:cstheme="majorHAnsi"/>
          <w:szCs w:val="26"/>
          <w:lang w:val="tr-TR"/>
        </w:rPr>
        <w:t>Kết quả từ Bả</w:t>
      </w:r>
      <w:r w:rsidR="00CF5D58" w:rsidRPr="00341848">
        <w:rPr>
          <w:rFonts w:cstheme="majorHAnsi"/>
          <w:szCs w:val="26"/>
          <w:lang w:val="tr-TR"/>
        </w:rPr>
        <w:t>ng 5</w:t>
      </w:r>
      <w:r w:rsidRPr="00341848">
        <w:rPr>
          <w:rFonts w:cstheme="majorHAnsi"/>
          <w:szCs w:val="26"/>
          <w:lang w:val="tr-TR"/>
        </w:rPr>
        <w:t xml:space="preserve"> cho thấy</w:t>
      </w:r>
      <w:r w:rsidR="007D2DD7" w:rsidRPr="00341848">
        <w:rPr>
          <w:rFonts w:cstheme="majorHAnsi"/>
          <w:szCs w:val="26"/>
          <w:lang w:val="tr-TR"/>
        </w:rPr>
        <w:t>,</w:t>
      </w:r>
      <w:r w:rsidR="00254681">
        <w:rPr>
          <w:rFonts w:cstheme="majorHAnsi"/>
          <w:szCs w:val="26"/>
          <w:lang w:val="tr-TR"/>
        </w:rPr>
        <w:t xml:space="preserve"> Altman</w:t>
      </w:r>
      <w:r w:rsidRPr="00341848">
        <w:rPr>
          <w:rFonts w:cstheme="majorHAnsi"/>
          <w:szCs w:val="26"/>
          <w:lang w:val="tr-TR"/>
        </w:rPr>
        <w:t xml:space="preserve"> có </w:t>
      </w:r>
      <w:r w:rsidR="007D2DD7" w:rsidRPr="00341848">
        <w:rPr>
          <w:rFonts w:cstheme="majorHAnsi"/>
          <w:szCs w:val="26"/>
          <w:lang w:val="tr-TR"/>
        </w:rPr>
        <w:t>tác động đế</w:t>
      </w:r>
      <w:r w:rsidR="00254681">
        <w:rPr>
          <w:rFonts w:cstheme="majorHAnsi"/>
          <w:szCs w:val="26"/>
          <w:lang w:val="tr-TR"/>
        </w:rPr>
        <w:t xml:space="preserve">n </w:t>
      </w:r>
      <w:r w:rsidR="0070574E">
        <w:rPr>
          <w:rFonts w:cstheme="majorHAnsi"/>
          <w:szCs w:val="26"/>
          <w:lang w:val="tr-TR"/>
        </w:rPr>
        <w:t>chất lượng báo cáo tài chính</w:t>
      </w:r>
      <w:r w:rsidR="00254681">
        <w:rPr>
          <w:rFonts w:cstheme="majorHAnsi"/>
          <w:szCs w:val="26"/>
          <w:lang w:val="tr-TR"/>
        </w:rPr>
        <w:t xml:space="preserve"> </w:t>
      </w:r>
      <w:r w:rsidR="007D2DD7" w:rsidRPr="00341848">
        <w:rPr>
          <w:rFonts w:cstheme="majorHAnsi"/>
          <w:szCs w:val="26"/>
          <w:lang w:val="tr-TR"/>
        </w:rPr>
        <w:t xml:space="preserve">ở </w:t>
      </w:r>
      <w:r w:rsidRPr="00341848">
        <w:rPr>
          <w:rFonts w:cstheme="majorHAnsi"/>
          <w:szCs w:val="26"/>
          <w:lang w:val="tr-TR"/>
        </w:rPr>
        <w:t>mức ý nghĩa thố</w:t>
      </w:r>
      <w:r w:rsidR="00A524E2">
        <w:rPr>
          <w:rFonts w:cstheme="majorHAnsi"/>
          <w:szCs w:val="26"/>
          <w:lang w:val="tr-TR"/>
        </w:rPr>
        <w:t>ng kê 10</w:t>
      </w:r>
      <w:r w:rsidRPr="00341848">
        <w:rPr>
          <w:rFonts w:cstheme="majorHAnsi"/>
          <w:szCs w:val="26"/>
          <w:lang w:val="tr-TR"/>
        </w:rPr>
        <w:t xml:space="preserve">%, tất cả các biến độc lập còn lại </w:t>
      </w:r>
      <w:r w:rsidR="007D2DD7" w:rsidRPr="00341848">
        <w:rPr>
          <w:rFonts w:cstheme="majorHAnsi"/>
          <w:szCs w:val="26"/>
          <w:lang w:val="tr-TR"/>
        </w:rPr>
        <w:t xml:space="preserve">cũng tác động đáng kể đến </w:t>
      </w:r>
      <w:r w:rsidR="00223BAB">
        <w:rPr>
          <w:rFonts w:cstheme="majorHAnsi"/>
          <w:szCs w:val="26"/>
          <w:lang w:val="tr-TR"/>
        </w:rPr>
        <w:t xml:space="preserve">chất lượng báo cáo tài chính </w:t>
      </w:r>
      <w:r w:rsidR="007D2DD7" w:rsidRPr="00341848">
        <w:rPr>
          <w:rFonts w:cstheme="majorHAnsi"/>
          <w:szCs w:val="26"/>
          <w:lang w:val="tr-TR"/>
        </w:rPr>
        <w:t>với</w:t>
      </w:r>
      <w:r w:rsidRPr="00341848">
        <w:rPr>
          <w:rFonts w:cstheme="majorHAnsi"/>
          <w:szCs w:val="26"/>
          <w:lang w:val="tr-TR"/>
        </w:rPr>
        <w:t xml:space="preserve"> mức ý nghĩa thống kê</w:t>
      </w:r>
      <w:r w:rsidR="001835A9" w:rsidRPr="00341848">
        <w:rPr>
          <w:rFonts w:cstheme="majorHAnsi"/>
          <w:szCs w:val="26"/>
          <w:lang w:val="tr-TR"/>
        </w:rPr>
        <w:t xml:space="preserve"> </w:t>
      </w:r>
      <w:r w:rsidR="00254681">
        <w:rPr>
          <w:rFonts w:cstheme="majorHAnsi"/>
          <w:szCs w:val="26"/>
          <w:lang w:val="tr-TR"/>
        </w:rPr>
        <w:t>1%,</w:t>
      </w:r>
      <w:r w:rsidR="00223BAB">
        <w:rPr>
          <w:rFonts w:cstheme="majorHAnsi"/>
          <w:szCs w:val="26"/>
          <w:lang w:val="tr-TR"/>
        </w:rPr>
        <w:t xml:space="preserve"> 5%</w:t>
      </w:r>
      <w:r w:rsidR="00254681">
        <w:rPr>
          <w:rFonts w:cstheme="majorHAnsi"/>
          <w:szCs w:val="26"/>
          <w:lang w:val="tr-TR"/>
        </w:rPr>
        <w:t xml:space="preserve"> ngoại trừ biến </w:t>
      </w:r>
      <w:r w:rsidR="00223BAB">
        <w:rPr>
          <w:rFonts w:cstheme="majorHAnsi"/>
          <w:szCs w:val="26"/>
          <w:lang w:val="tr-TR"/>
        </w:rPr>
        <w:t>FA</w:t>
      </w:r>
      <w:r w:rsidR="00254681">
        <w:rPr>
          <w:rFonts w:cstheme="majorHAnsi"/>
          <w:szCs w:val="26"/>
          <w:lang w:val="tr-TR"/>
        </w:rPr>
        <w:t xml:space="preserve"> với mức ý nghĩa 10%</w:t>
      </w:r>
    </w:p>
    <w:p w14:paraId="048758F2" w14:textId="77777777" w:rsidR="0095335F" w:rsidRDefault="00AA26EA" w:rsidP="0095335F">
      <w:pPr>
        <w:spacing w:after="0" w:line="360" w:lineRule="auto"/>
        <w:rPr>
          <w:rFonts w:cstheme="majorHAnsi"/>
          <w:szCs w:val="26"/>
          <w:lang w:val="tr-TR"/>
        </w:rPr>
      </w:pPr>
      <w:r w:rsidRPr="00341848">
        <w:rPr>
          <w:rFonts w:cstheme="majorHAnsi"/>
          <w:szCs w:val="26"/>
          <w:lang w:val="tr-TR"/>
        </w:rPr>
        <w:t xml:space="preserve">Hàm hồi quy với mô hình tác động </w:t>
      </w:r>
      <w:r w:rsidR="00254681">
        <w:rPr>
          <w:rFonts w:cstheme="majorHAnsi"/>
          <w:szCs w:val="26"/>
          <w:lang w:val="tr-TR"/>
        </w:rPr>
        <w:t xml:space="preserve">cố định </w:t>
      </w:r>
      <w:r w:rsidRPr="00341848">
        <w:rPr>
          <w:rFonts w:cstheme="majorHAnsi"/>
          <w:szCs w:val="26"/>
          <w:lang w:val="tr-TR"/>
        </w:rPr>
        <w:t>đã sử dụng hiệu chỉnh Robust để loại bỏ</w:t>
      </w:r>
      <w:r w:rsidR="00254681">
        <w:rPr>
          <w:rFonts w:cstheme="majorHAnsi"/>
          <w:szCs w:val="26"/>
          <w:lang w:val="tr-TR"/>
        </w:rPr>
        <w:t xml:space="preserve"> phương sai không </w:t>
      </w:r>
      <w:r w:rsidRPr="00341848">
        <w:rPr>
          <w:rFonts w:cstheme="majorHAnsi"/>
          <w:szCs w:val="26"/>
          <w:lang w:val="tr-TR"/>
        </w:rPr>
        <w:t>đồng nhấ</w:t>
      </w:r>
      <w:r w:rsidR="00254681">
        <w:rPr>
          <w:rFonts w:cstheme="majorHAnsi"/>
          <w:szCs w:val="26"/>
          <w:lang w:val="tr-TR"/>
        </w:rPr>
        <w:t xml:space="preserve">t và hiệu chỉnh </w:t>
      </w:r>
      <w:r w:rsidR="00254681" w:rsidRPr="00254681">
        <w:rPr>
          <w:rFonts w:cstheme="majorHAnsi"/>
          <w:szCs w:val="26"/>
          <w:lang w:val="tr-TR"/>
        </w:rPr>
        <w:t>Prais-Winsten</w:t>
      </w:r>
      <w:r w:rsidR="00254681">
        <w:rPr>
          <w:rFonts w:cstheme="majorHAnsi"/>
          <w:szCs w:val="26"/>
          <w:lang w:val="tr-TR"/>
        </w:rPr>
        <w:t xml:space="preserve"> để khắc phục hiện tượng tự</w:t>
      </w:r>
      <w:r w:rsidR="0095335F">
        <w:rPr>
          <w:rFonts w:cstheme="majorHAnsi"/>
          <w:szCs w:val="26"/>
          <w:lang w:val="tr-TR"/>
        </w:rPr>
        <w:t xml:space="preserve"> tương quan</w:t>
      </w:r>
    </w:p>
    <w:p w14:paraId="69B469FB" w14:textId="6C0B3C01" w:rsidR="00254681" w:rsidRPr="0095335F" w:rsidRDefault="008C0C3A" w:rsidP="0095335F">
      <w:pPr>
        <w:spacing w:after="0" w:line="360" w:lineRule="auto"/>
        <w:rPr>
          <w:rFonts w:eastAsia="Times New Roman" w:cstheme="majorHAnsi"/>
          <w:szCs w:val="26"/>
          <w:lang w:val="fr-FR"/>
        </w:rPr>
      </w:pPr>
      <m:oMathPara>
        <m:oMath>
          <m:sSub>
            <m:sSubPr>
              <m:ctrlPr>
                <w:rPr>
                  <w:rFonts w:ascii="Cambria Math" w:hAnsi="Cambria Math"/>
                  <w:b/>
                  <w:szCs w:val="26"/>
                </w:rPr>
              </m:ctrlPr>
            </m:sSubPr>
            <m:e>
              <m:r>
                <m:rPr>
                  <m:sty m:val="bi"/>
                </m:rPr>
                <w:rPr>
                  <w:rFonts w:ascii="Cambria Math" w:hAnsi="Cambria Math"/>
                  <w:szCs w:val="26"/>
                </w:rPr>
                <m:t>FRQ</m:t>
              </m:r>
            </m:e>
            <m:sub>
              <m:r>
                <m:rPr>
                  <m:sty m:val="bi"/>
                </m:rPr>
                <w:rPr>
                  <w:rFonts w:ascii="Cambria Math" w:hAnsi="Cambria Math"/>
                  <w:szCs w:val="26"/>
                </w:rPr>
                <m:t>it</m:t>
              </m:r>
            </m:sub>
          </m:sSub>
          <m:r>
            <m:rPr>
              <m:sty m:val="b"/>
            </m:rPr>
            <w:rPr>
              <w:rFonts w:ascii="Cambria Math" w:hAnsi="Cambria Math"/>
              <w:szCs w:val="26"/>
            </w:rPr>
            <m:t>=</m:t>
          </m:r>
          <m:r>
            <m:rPr>
              <m:sty m:val="p"/>
            </m:rPr>
            <w:rPr>
              <w:rFonts w:ascii="Cambria Math" w:hAnsi="Cambria Math"/>
              <w:color w:val="000000"/>
            </w:rPr>
            <m:t>-</m:t>
          </m:r>
          <m:r>
            <m:rPr>
              <m:sty m:val="p"/>
            </m:rPr>
            <w:rPr>
              <w:rFonts w:ascii="Cambria Math" w:hAnsi="Cambria Math"/>
              <w:color w:val="000000"/>
            </w:rPr>
            <m:t>0.696</m:t>
          </m:r>
          <m:r>
            <m:rPr>
              <m:sty m:val="b"/>
            </m:rPr>
            <w:rPr>
              <w:rFonts w:ascii="Cambria Math" w:hAnsi="Cambria Math"/>
              <w:szCs w:val="26"/>
            </w:rPr>
            <m:t>-</m:t>
          </m:r>
          <m:sSub>
            <m:sSubPr>
              <m:ctrlPr>
                <w:rPr>
                  <w:rFonts w:ascii="Cambria Math" w:hAnsi="Cambria Math"/>
                  <w:b/>
                  <w:szCs w:val="26"/>
                </w:rPr>
              </m:ctrlPr>
            </m:sSubPr>
            <m:e>
              <m:r>
                <m:rPr>
                  <m:sty m:val="b"/>
                </m:rPr>
                <w:rPr>
                  <w:rFonts w:ascii="Cambria Math" w:hAnsi="Cambria Math"/>
                  <w:szCs w:val="26"/>
                </w:rPr>
                <m:t xml:space="preserve"> </m:t>
              </m:r>
              <m:r>
                <m:rPr>
                  <m:sty m:val="p"/>
                </m:rPr>
                <w:rPr>
                  <w:rFonts w:ascii="Cambria Math" w:hAnsi="Cambria Math"/>
                  <w:color w:val="000000"/>
                </w:rPr>
                <m:t>0.006</m:t>
              </m:r>
              <m:r>
                <m:rPr>
                  <m:sty m:val="bi"/>
                </m:rPr>
                <w:rPr>
                  <w:rFonts w:ascii="Cambria Math" w:hAnsi="Cambria Math"/>
                  <w:szCs w:val="26"/>
                </w:rPr>
                <m:t>Altman</m:t>
              </m:r>
            </m:e>
            <m:sub>
              <m:r>
                <m:rPr>
                  <m:sty m:val="bi"/>
                </m:rPr>
                <w:rPr>
                  <w:rFonts w:ascii="Cambria Math" w:hAnsi="Cambria Math"/>
                  <w:szCs w:val="26"/>
                </w:rPr>
                <m:t>it</m:t>
              </m:r>
            </m:sub>
          </m:sSub>
          <m:r>
            <m:rPr>
              <m:sty m:val="b"/>
            </m:rPr>
            <w:rPr>
              <w:rFonts w:ascii="Cambria Math" w:hAnsi="Cambria Math"/>
              <w:szCs w:val="26"/>
            </w:rPr>
            <m:t>+</m:t>
          </m:r>
          <m:r>
            <m:rPr>
              <m:sty m:val="p"/>
            </m:rPr>
            <w:rPr>
              <w:rFonts w:ascii="Cambria Math" w:hAnsi="Cambria Math"/>
              <w:color w:val="000000"/>
            </w:rPr>
            <m:t>0.084</m:t>
          </m:r>
          <m:sSub>
            <m:sSubPr>
              <m:ctrlPr>
                <w:rPr>
                  <w:rFonts w:ascii="Cambria Math" w:hAnsi="Cambria Math"/>
                  <w:b/>
                  <w:szCs w:val="26"/>
                </w:rPr>
              </m:ctrlPr>
            </m:sSubPr>
            <m:e>
              <m:r>
                <m:rPr>
                  <m:sty m:val="bi"/>
                </m:rPr>
                <w:rPr>
                  <w:rFonts w:ascii="Cambria Math" w:hAnsi="Cambria Math"/>
                  <w:szCs w:val="26"/>
                </w:rPr>
                <m:t>FA</m:t>
              </m:r>
            </m:e>
            <m:sub>
              <m:r>
                <m:rPr>
                  <m:sty m:val="bi"/>
                </m:rPr>
                <w:rPr>
                  <w:rFonts w:ascii="Cambria Math" w:hAnsi="Cambria Math"/>
                  <w:szCs w:val="26"/>
                </w:rPr>
                <m:t>it</m:t>
              </m:r>
            </m:sub>
          </m:sSub>
          <m:r>
            <m:rPr>
              <m:sty m:val="b"/>
            </m:rPr>
            <w:rPr>
              <w:rFonts w:ascii="Cambria Math" w:hAnsi="Cambria Math"/>
              <w:szCs w:val="26"/>
            </w:rPr>
            <m:t>-</m:t>
          </m:r>
          <m:r>
            <m:rPr>
              <m:sty m:val="p"/>
            </m:rPr>
            <w:rPr>
              <w:rFonts w:ascii="Cambria Math" w:hAnsi="Cambria Math"/>
              <w:color w:val="000000"/>
            </w:rPr>
            <m:t>0.</m:t>
          </m:r>
          <m:r>
            <m:rPr>
              <m:sty m:val="p"/>
            </m:rPr>
            <w:rPr>
              <w:rFonts w:ascii="Cambria Math" w:hAnsi="Cambria Math"/>
              <w:color w:val="000000"/>
            </w:rPr>
            <m:t>207</m:t>
          </m:r>
          <m:sSub>
            <m:sSubPr>
              <m:ctrlPr>
                <w:rPr>
                  <w:rFonts w:ascii="Cambria Math" w:hAnsi="Cambria Math"/>
                  <w:b/>
                  <w:szCs w:val="26"/>
                </w:rPr>
              </m:ctrlPr>
            </m:sSubPr>
            <m:e>
              <m:r>
                <m:rPr>
                  <m:sty m:val="bi"/>
                </m:rPr>
                <w:rPr>
                  <w:rFonts w:ascii="Cambria Math" w:hAnsi="Cambria Math"/>
                  <w:szCs w:val="26"/>
                </w:rPr>
                <m:t>LEV</m:t>
              </m:r>
            </m:e>
            <m:sub>
              <m:r>
                <m:rPr>
                  <m:sty m:val="bi"/>
                </m:rPr>
                <w:rPr>
                  <w:rFonts w:ascii="Cambria Math" w:hAnsi="Cambria Math"/>
                  <w:szCs w:val="26"/>
                </w:rPr>
                <m:t>it</m:t>
              </m:r>
            </m:sub>
          </m:sSub>
          <m:r>
            <m:rPr>
              <m:sty m:val="p"/>
            </m:rPr>
            <w:rPr>
              <w:rFonts w:ascii="Cambria Math" w:hAnsi="Cambria Math"/>
              <w:color w:val="000000"/>
            </w:rPr>
            <m:t>+</m:t>
          </m:r>
          <m:r>
            <m:rPr>
              <m:sty m:val="p"/>
            </m:rPr>
            <w:rPr>
              <w:rFonts w:ascii="Cambria Math" w:hAnsi="Cambria Math"/>
              <w:color w:val="000000"/>
            </w:rPr>
            <m:t>0.</m:t>
          </m:r>
          <m:r>
            <m:rPr>
              <m:sty m:val="p"/>
            </m:rPr>
            <w:rPr>
              <w:rFonts w:ascii="Cambria Math" w:hAnsi="Cambria Math"/>
              <w:color w:val="000000"/>
            </w:rPr>
            <m:t>2</m:t>
          </m:r>
          <m:r>
            <m:rPr>
              <m:sty m:val="p"/>
            </m:rPr>
            <w:rPr>
              <w:rFonts w:ascii="Cambria Math" w:hAnsi="Cambria Math"/>
              <w:color w:val="000000"/>
            </w:rPr>
            <m:t>16</m:t>
          </m:r>
          <m:sSub>
            <m:sSubPr>
              <m:ctrlPr>
                <w:rPr>
                  <w:rFonts w:ascii="Cambria Math" w:hAnsi="Cambria Math"/>
                  <w:b/>
                  <w:szCs w:val="26"/>
                </w:rPr>
              </m:ctrlPr>
            </m:sSubPr>
            <m:e>
              <m:r>
                <m:rPr>
                  <m:sty m:val="bi"/>
                </m:rPr>
                <w:rPr>
                  <w:rFonts w:ascii="Cambria Math" w:hAnsi="Cambria Math"/>
                  <w:szCs w:val="26"/>
                </w:rPr>
                <m:t>ROA</m:t>
              </m:r>
            </m:e>
            <m:sub>
              <m:r>
                <m:rPr>
                  <m:sty m:val="bi"/>
                </m:rPr>
                <w:rPr>
                  <w:rFonts w:ascii="Cambria Math" w:hAnsi="Cambria Math"/>
                  <w:szCs w:val="26"/>
                </w:rPr>
                <m:t>it</m:t>
              </m:r>
            </m:sub>
          </m:sSub>
          <m:r>
            <m:rPr>
              <m:sty m:val="b"/>
            </m:rPr>
            <w:rPr>
              <w:rFonts w:ascii="Cambria Math" w:hAnsi="Cambria Math"/>
              <w:szCs w:val="26"/>
            </w:rPr>
            <m:t>+</m:t>
          </m:r>
          <m:r>
            <m:rPr>
              <m:sty m:val="p"/>
            </m:rPr>
            <w:rPr>
              <w:rFonts w:ascii="Cambria Math" w:hAnsi="Cambria Math"/>
              <w:color w:val="000000"/>
            </w:rPr>
            <m:t>0.03</m:t>
          </m:r>
          <m:sSub>
            <m:sSubPr>
              <m:ctrlPr>
                <w:rPr>
                  <w:rFonts w:ascii="Cambria Math" w:hAnsi="Cambria Math"/>
                  <w:b/>
                  <w:szCs w:val="26"/>
                </w:rPr>
              </m:ctrlPr>
            </m:sSubPr>
            <m:e>
              <m:r>
                <m:rPr>
                  <m:sty m:val="bi"/>
                </m:rPr>
                <w:rPr>
                  <w:rFonts w:ascii="Cambria Math" w:hAnsi="Cambria Math"/>
                  <w:szCs w:val="26"/>
                </w:rPr>
                <m:t>SIZE</m:t>
              </m:r>
            </m:e>
            <m:sub>
              <m:r>
                <m:rPr>
                  <m:sty m:val="bi"/>
                </m:rPr>
                <w:rPr>
                  <w:rFonts w:ascii="Cambria Math" w:hAnsi="Cambria Math"/>
                  <w:szCs w:val="26"/>
                </w:rPr>
                <m:t>it</m:t>
              </m:r>
            </m:sub>
          </m:sSub>
          <m:r>
            <m:rPr>
              <m:sty m:val="b"/>
            </m:rPr>
            <w:rPr>
              <w:rFonts w:ascii="Cambria Math" w:hAnsi="Cambria Math"/>
              <w:szCs w:val="26"/>
            </w:rPr>
            <m:t>-</m:t>
          </m:r>
          <m:sSub>
            <m:sSubPr>
              <m:ctrlPr>
                <w:rPr>
                  <w:rFonts w:ascii="Cambria Math" w:hAnsi="Cambria Math"/>
                  <w:b/>
                  <w:szCs w:val="26"/>
                </w:rPr>
              </m:ctrlPr>
            </m:sSubPr>
            <m:e>
              <m:r>
                <m:rPr>
                  <m:sty m:val="p"/>
                </m:rPr>
                <w:rPr>
                  <w:rFonts w:ascii="Cambria Math" w:hAnsi="Cambria Math"/>
                  <w:color w:val="000000"/>
                </w:rPr>
                <m:t>0.</m:t>
              </m:r>
              <m:r>
                <m:rPr>
                  <m:sty m:val="p"/>
                </m:rPr>
                <w:rPr>
                  <w:rFonts w:ascii="Cambria Math" w:hAnsi="Cambria Math"/>
                  <w:color w:val="000000"/>
                </w:rPr>
                <m:t>3</m:t>
              </m:r>
              <m:r>
                <m:rPr>
                  <m:sty m:val="p"/>
                </m:rPr>
                <w:rPr>
                  <w:rFonts w:ascii="Cambria Math" w:hAnsi="Cambria Math"/>
                  <w:color w:val="000000"/>
                </w:rPr>
                <m:t>12</m:t>
              </m:r>
              <m:sSub>
                <m:sSubPr>
                  <m:ctrlPr>
                    <w:rPr>
                      <w:rFonts w:ascii="Cambria Math" w:hAnsi="Cambria Math"/>
                      <w:b/>
                      <w:szCs w:val="26"/>
                    </w:rPr>
                  </m:ctrlPr>
                </m:sSubPr>
                <m:e>
                  <m:r>
                    <m:rPr>
                      <m:sty m:val="bi"/>
                    </m:rPr>
                    <w:rPr>
                      <w:rFonts w:ascii="Cambria Math" w:hAnsi="Cambria Math"/>
                      <w:szCs w:val="26"/>
                    </w:rPr>
                    <m:t>WCA</m:t>
                  </m:r>
                </m:e>
                <m:sub>
                  <m:r>
                    <m:rPr>
                      <m:sty m:val="bi"/>
                    </m:rPr>
                    <w:rPr>
                      <w:rFonts w:ascii="Cambria Math" w:hAnsi="Cambria Math"/>
                      <w:szCs w:val="26"/>
                    </w:rPr>
                    <m:t>it</m:t>
                  </m:r>
                </m:sub>
              </m:sSub>
            </m:e>
            <m:sub/>
          </m:sSub>
          <m:r>
            <m:rPr>
              <m:sty m:val="b"/>
            </m:rPr>
            <w:rPr>
              <w:rFonts w:ascii="Cambria Math" w:hAnsi="Cambria Math"/>
              <w:szCs w:val="26"/>
            </w:rPr>
            <m:t>+</m:t>
          </m:r>
          <m:sSub>
            <m:sSubPr>
              <m:ctrlPr>
                <w:rPr>
                  <w:rFonts w:ascii="Cambria Math" w:hAnsi="Cambria Math"/>
                  <w:b/>
                  <w:szCs w:val="26"/>
                </w:rPr>
              </m:ctrlPr>
            </m:sSubPr>
            <m:e>
              <m:r>
                <m:rPr>
                  <m:sty m:val="bi"/>
                </m:rPr>
                <w:rPr>
                  <w:rFonts w:ascii="Cambria Math" w:hAnsi="Cambria Math"/>
                  <w:szCs w:val="26"/>
                </w:rPr>
                <m:t>ε</m:t>
              </m:r>
            </m:e>
            <m:sub>
              <m:r>
                <m:rPr>
                  <m:sty m:val="bi"/>
                </m:rPr>
                <w:rPr>
                  <w:rFonts w:ascii="Cambria Math" w:hAnsi="Cambria Math"/>
                  <w:szCs w:val="26"/>
                </w:rPr>
                <m:t>it</m:t>
              </m:r>
            </m:sub>
          </m:sSub>
        </m:oMath>
      </m:oMathPara>
    </w:p>
    <w:p w14:paraId="1D21FAA6" w14:textId="77777777" w:rsidR="00254681" w:rsidRPr="00341848" w:rsidRDefault="00254681" w:rsidP="0095335F">
      <w:pPr>
        <w:spacing w:after="0" w:line="360" w:lineRule="auto"/>
        <w:rPr>
          <w:rFonts w:eastAsia="Times New Roman" w:cstheme="majorHAnsi"/>
          <w:szCs w:val="26"/>
          <w:lang w:val="fr-FR"/>
        </w:rPr>
      </w:pPr>
    </w:p>
    <w:p w14:paraId="43525BE0" w14:textId="0F634EB4" w:rsidR="0098122C" w:rsidRPr="00341848" w:rsidRDefault="0098122C" w:rsidP="00361353">
      <w:pPr>
        <w:spacing w:after="0" w:line="360" w:lineRule="auto"/>
        <w:rPr>
          <w:rFonts w:cstheme="majorHAnsi"/>
          <w:szCs w:val="26"/>
          <w:lang w:val="en-US"/>
        </w:rPr>
      </w:pPr>
      <w:r w:rsidRPr="00341848">
        <w:rPr>
          <w:rFonts w:cstheme="majorHAnsi"/>
          <w:szCs w:val="26"/>
          <w:lang w:val="en-US"/>
        </w:rPr>
        <w:lastRenderedPageBreak/>
        <w:t>Kết quả đã chứng minh được giả thuyết</w:t>
      </w:r>
      <w:r w:rsidR="00964E77" w:rsidRPr="00341848">
        <w:rPr>
          <w:rFonts w:cstheme="majorHAnsi"/>
          <w:szCs w:val="26"/>
          <w:lang w:val="en-US"/>
        </w:rPr>
        <w:t xml:space="preserve"> </w:t>
      </w:r>
      <w:r w:rsidR="0095335F">
        <w:rPr>
          <w:rFonts w:cstheme="majorHAnsi"/>
          <w:szCs w:val="26"/>
          <w:lang w:val="en-US"/>
        </w:rPr>
        <w:t xml:space="preserve">KNHĐLT </w:t>
      </w:r>
      <w:r w:rsidRPr="00341848">
        <w:rPr>
          <w:rFonts w:cstheme="majorHAnsi"/>
          <w:szCs w:val="26"/>
          <w:lang w:val="en-US"/>
        </w:rPr>
        <w:t>ảnh hưởng đế</w:t>
      </w:r>
      <w:r w:rsidR="0095335F">
        <w:rPr>
          <w:rFonts w:cstheme="majorHAnsi"/>
          <w:szCs w:val="26"/>
          <w:lang w:val="en-US"/>
        </w:rPr>
        <w:t xml:space="preserve">n </w:t>
      </w:r>
      <w:r w:rsidR="00073719">
        <w:rPr>
          <w:rFonts w:cstheme="majorHAnsi"/>
          <w:szCs w:val="26"/>
          <w:lang w:val="tr-TR"/>
        </w:rPr>
        <w:t>chất lượng báo cáo tài chính</w:t>
      </w:r>
      <w:r w:rsidRPr="00341848">
        <w:rPr>
          <w:rFonts w:cstheme="majorHAnsi"/>
          <w:szCs w:val="26"/>
          <w:lang w:val="en-US"/>
        </w:rPr>
        <w:t xml:space="preserve">. Nếu các công ty có </w:t>
      </w:r>
      <w:r w:rsidR="0095335F">
        <w:rPr>
          <w:rFonts w:cstheme="majorHAnsi"/>
          <w:szCs w:val="26"/>
          <w:lang w:val="en-US"/>
        </w:rPr>
        <w:t>KNHĐLT tốt thì</w:t>
      </w:r>
      <w:r w:rsidR="00610B1B" w:rsidRPr="00341848">
        <w:rPr>
          <w:rFonts w:cstheme="majorHAnsi"/>
          <w:szCs w:val="26"/>
          <w:lang w:val="en-US"/>
        </w:rPr>
        <w:t xml:space="preserve"> </w:t>
      </w:r>
      <w:r w:rsidR="00073719">
        <w:rPr>
          <w:rFonts w:cstheme="majorHAnsi"/>
          <w:szCs w:val="26"/>
          <w:lang w:val="tr-TR"/>
        </w:rPr>
        <w:t xml:space="preserve">chất lượng báo cáo tài chính </w:t>
      </w:r>
      <w:r w:rsidR="0095335F">
        <w:rPr>
          <w:rFonts w:cstheme="majorHAnsi"/>
          <w:szCs w:val="26"/>
          <w:lang w:val="en-US"/>
        </w:rPr>
        <w:t>cao và ngược lại</w:t>
      </w:r>
    </w:p>
    <w:p w14:paraId="499B677B" w14:textId="5770EAC1" w:rsidR="0004495E" w:rsidRDefault="0004495E" w:rsidP="00361353">
      <w:pPr>
        <w:spacing w:after="0" w:line="360" w:lineRule="auto"/>
        <w:rPr>
          <w:rFonts w:cstheme="majorHAnsi"/>
          <w:b/>
          <w:szCs w:val="26"/>
          <w:lang w:val="en-US"/>
        </w:rPr>
      </w:pPr>
      <w:r w:rsidRPr="00341848">
        <w:rPr>
          <w:rFonts w:cstheme="majorHAnsi"/>
          <w:b/>
          <w:szCs w:val="26"/>
          <w:lang w:val="en-US"/>
        </w:rPr>
        <w:t>So sánh kết quả</w:t>
      </w:r>
    </w:p>
    <w:p w14:paraId="4A6DD869" w14:textId="1F443706" w:rsidR="00847F40" w:rsidRDefault="00847F40" w:rsidP="00FA0020">
      <w:pPr>
        <w:spacing w:after="0" w:line="360" w:lineRule="auto"/>
        <w:ind w:firstLine="720"/>
        <w:rPr>
          <w:rFonts w:cstheme="majorHAnsi"/>
          <w:szCs w:val="26"/>
          <w:lang w:val="en-US"/>
        </w:rPr>
      </w:pPr>
      <w:r w:rsidRPr="001B2A24">
        <w:rPr>
          <w:rFonts w:cstheme="majorHAnsi"/>
          <w:szCs w:val="26"/>
          <w:lang w:val="en-US"/>
        </w:rPr>
        <w:t xml:space="preserve">Các công ty có </w:t>
      </w:r>
      <w:r w:rsidR="001B2A24">
        <w:rPr>
          <w:rFonts w:cstheme="majorHAnsi"/>
          <w:szCs w:val="26"/>
          <w:lang w:val="en-US"/>
        </w:rPr>
        <w:t>khả năng vi phạm hoạt động liên tục</w:t>
      </w:r>
      <w:r w:rsidRPr="001B2A24">
        <w:rPr>
          <w:rFonts w:cstheme="majorHAnsi"/>
          <w:szCs w:val="26"/>
          <w:lang w:val="en-US"/>
        </w:rPr>
        <w:t xml:space="preserve"> </w:t>
      </w:r>
      <w:r w:rsidR="00414BFE">
        <w:rPr>
          <w:rFonts w:cstheme="majorHAnsi"/>
          <w:szCs w:val="26"/>
          <w:lang w:val="en-US"/>
        </w:rPr>
        <w:t>thấp</w:t>
      </w:r>
      <w:r w:rsidRPr="001B2A24">
        <w:rPr>
          <w:rFonts w:cstheme="majorHAnsi"/>
          <w:szCs w:val="26"/>
          <w:lang w:val="en-US"/>
        </w:rPr>
        <w:t xml:space="preserve"> hơn thường có mức độ suy thoái về tài chính thấ</w:t>
      </w:r>
      <w:r w:rsidR="00910A45">
        <w:rPr>
          <w:rFonts w:cstheme="majorHAnsi"/>
          <w:szCs w:val="26"/>
          <w:lang w:val="en-US"/>
        </w:rPr>
        <w:t>p hơn, nhà quản lý có xu hướng</w:t>
      </w:r>
      <w:r w:rsidRPr="001B2A24">
        <w:rPr>
          <w:rFonts w:cstheme="majorHAnsi"/>
          <w:szCs w:val="26"/>
          <w:lang w:val="en-US"/>
        </w:rPr>
        <w:t xml:space="preserve"> tham gia quản lý thu nhập cao hơn.  Về cơ bản, các nhà quản lý của các doanh nghiệp có mức độ khó khăn</w:t>
      </w:r>
      <w:r w:rsidR="00FA0020">
        <w:rPr>
          <w:rFonts w:cstheme="majorHAnsi"/>
          <w:szCs w:val="26"/>
          <w:lang w:val="en-US"/>
        </w:rPr>
        <w:t xml:space="preserve"> tài chính</w:t>
      </w:r>
      <w:r w:rsidRPr="001B2A24">
        <w:rPr>
          <w:rFonts w:cstheme="majorHAnsi"/>
          <w:szCs w:val="26"/>
          <w:lang w:val="en-US"/>
        </w:rPr>
        <w:t xml:space="preserve"> thấp hơn có thể sử dụng </w:t>
      </w:r>
      <w:r w:rsidR="00FA0020">
        <w:rPr>
          <w:rFonts w:cstheme="majorHAnsi"/>
          <w:szCs w:val="26"/>
          <w:lang w:val="en-US"/>
        </w:rPr>
        <w:t>thao túng thu nhập</w:t>
      </w:r>
      <w:r w:rsidRPr="001B2A24">
        <w:rPr>
          <w:rFonts w:cstheme="majorHAnsi"/>
          <w:szCs w:val="26"/>
          <w:lang w:val="en-US"/>
        </w:rPr>
        <w:t xml:space="preserve"> nếu sự căng thẳng trong một khoảng thời gian tạm thời chủ yếu nhằm đảm bảo tiền thưởng, danh tiếng và công việc </w:t>
      </w:r>
      <w:r w:rsidR="00FA0020">
        <w:rPr>
          <w:rFonts w:cstheme="majorHAnsi"/>
          <w:szCs w:val="26"/>
          <w:lang w:val="en-US"/>
        </w:rPr>
        <w:t>hiện tại</w:t>
      </w:r>
      <w:r w:rsidRPr="001B2A24">
        <w:rPr>
          <w:rFonts w:cstheme="majorHAnsi"/>
          <w:szCs w:val="26"/>
          <w:lang w:val="en-US"/>
        </w:rPr>
        <w:t xml:space="preserve">. Kết quả này cũng phù hợp với những phát hiện của Charitou </w:t>
      </w:r>
      <w:r w:rsidR="006A2E13">
        <w:rPr>
          <w:rFonts w:cstheme="majorHAnsi"/>
          <w:szCs w:val="26"/>
          <w:lang w:val="en-US"/>
        </w:rPr>
        <w:t>và cộng sự</w:t>
      </w:r>
      <w:r w:rsidRPr="001B2A24">
        <w:rPr>
          <w:rFonts w:cstheme="majorHAnsi"/>
          <w:szCs w:val="26"/>
          <w:lang w:val="en-US"/>
        </w:rPr>
        <w:t xml:space="preserve"> </w:t>
      </w:r>
      <w:r w:rsidR="006A2E13">
        <w:rPr>
          <w:rFonts w:cstheme="majorHAnsi"/>
          <w:szCs w:val="26"/>
          <w:lang w:val="en-US"/>
        </w:rPr>
        <w:t>(2007);</w:t>
      </w:r>
      <w:r w:rsidRPr="001B2A24">
        <w:rPr>
          <w:rFonts w:cstheme="majorHAnsi"/>
          <w:szCs w:val="26"/>
          <w:lang w:val="en-US"/>
        </w:rPr>
        <w:t xml:space="preserve"> Etemadi</w:t>
      </w:r>
      <w:r w:rsidR="00C57158">
        <w:rPr>
          <w:rFonts w:cstheme="majorHAnsi"/>
          <w:szCs w:val="26"/>
          <w:lang w:val="en-US"/>
        </w:rPr>
        <w:t xml:space="preserve"> và cộng sự (</w:t>
      </w:r>
      <w:r w:rsidR="0042091E">
        <w:rPr>
          <w:rFonts w:cstheme="majorHAnsi"/>
          <w:szCs w:val="26"/>
          <w:lang w:val="en-US"/>
        </w:rPr>
        <w:t>2013).</w:t>
      </w:r>
      <w:r w:rsidR="00C54183">
        <w:rPr>
          <w:rFonts w:cstheme="majorHAnsi"/>
          <w:szCs w:val="26"/>
          <w:lang w:val="en-US"/>
        </w:rPr>
        <w:t xml:space="preserve"> </w:t>
      </w:r>
    </w:p>
    <w:p w14:paraId="0B3EE2B1" w14:textId="7723F1B3" w:rsidR="00C54183" w:rsidRDefault="00C54183" w:rsidP="00FA0020">
      <w:pPr>
        <w:spacing w:after="0" w:line="360" w:lineRule="auto"/>
        <w:ind w:firstLine="720"/>
        <w:rPr>
          <w:rFonts w:cstheme="majorHAnsi"/>
          <w:szCs w:val="26"/>
          <w:lang w:val="en-US"/>
        </w:rPr>
      </w:pPr>
      <w:r w:rsidRPr="00C54183">
        <w:rPr>
          <w:rFonts w:cstheme="majorHAnsi"/>
          <w:szCs w:val="26"/>
          <w:lang w:val="en-US"/>
        </w:rPr>
        <w:t xml:space="preserve">Biến </w:t>
      </w:r>
      <w:r w:rsidR="001123C1">
        <w:rPr>
          <w:rFonts w:cstheme="majorHAnsi"/>
          <w:szCs w:val="26"/>
          <w:lang w:val="en-US"/>
        </w:rPr>
        <w:t>ROA ,</w:t>
      </w:r>
      <w:r w:rsidR="00866866">
        <w:rPr>
          <w:rFonts w:cstheme="majorHAnsi"/>
          <w:szCs w:val="26"/>
          <w:lang w:val="en-US"/>
        </w:rPr>
        <w:t xml:space="preserve">FA, </w:t>
      </w:r>
      <w:r w:rsidRPr="00C54183">
        <w:rPr>
          <w:rFonts w:cstheme="majorHAnsi"/>
          <w:szCs w:val="26"/>
          <w:lang w:val="en-US"/>
        </w:rPr>
        <w:t xml:space="preserve">SIZE có mức ý nghĩa thống kê ở mô hình nghiên cứu và có tác động thuận đến </w:t>
      </w:r>
      <w:r w:rsidR="002C1930">
        <w:rPr>
          <w:rFonts w:cstheme="majorHAnsi"/>
          <w:szCs w:val="26"/>
          <w:lang w:val="en-US"/>
        </w:rPr>
        <w:t>chất lượng báo cáo tài chính</w:t>
      </w:r>
      <w:r w:rsidRPr="00C54183">
        <w:rPr>
          <w:rFonts w:cstheme="majorHAnsi"/>
          <w:szCs w:val="26"/>
          <w:lang w:val="en-US"/>
        </w:rPr>
        <w:t xml:space="preserve"> và có ý nghĩa thống kê. Các công ty niêm yết càng lớn càng có xu hướng</w:t>
      </w:r>
      <w:r w:rsidR="00481673">
        <w:rPr>
          <w:rFonts w:cstheme="majorHAnsi"/>
          <w:szCs w:val="26"/>
          <w:lang w:val="en-US"/>
        </w:rPr>
        <w:t xml:space="preserve"> ít sử dụng hành vi quản lý thu nhập để</w:t>
      </w:r>
      <w:r w:rsidRPr="00C54183">
        <w:rPr>
          <w:rFonts w:cstheme="majorHAnsi"/>
          <w:szCs w:val="26"/>
          <w:lang w:val="en-US"/>
        </w:rPr>
        <w:t xml:space="preserve"> thủ thuật kế toán</w:t>
      </w:r>
      <w:r w:rsidR="00DA73BA">
        <w:rPr>
          <w:rFonts w:cstheme="majorHAnsi"/>
          <w:szCs w:val="26"/>
          <w:lang w:val="en-US"/>
        </w:rPr>
        <w:t xml:space="preserve"> nhằm làm đẹp báo cáo tài chính</w:t>
      </w:r>
      <w:r w:rsidR="00481673">
        <w:rPr>
          <w:rFonts w:cstheme="majorHAnsi"/>
          <w:szCs w:val="26"/>
          <w:lang w:val="en-US"/>
        </w:rPr>
        <w:t xml:space="preserve"> bởi danh tiếng của mình</w:t>
      </w:r>
      <w:r w:rsidRPr="00C54183">
        <w:rPr>
          <w:rFonts w:cstheme="majorHAnsi"/>
          <w:szCs w:val="26"/>
          <w:lang w:val="en-US"/>
        </w:rPr>
        <w:t>. Nhiều nghiên cứu chứng minh các công ty lớn thường</w:t>
      </w:r>
      <w:r w:rsidR="00AF5B73">
        <w:rPr>
          <w:rFonts w:cstheme="majorHAnsi"/>
          <w:szCs w:val="26"/>
          <w:lang w:val="en-US"/>
        </w:rPr>
        <w:t xml:space="preserve"> ít</w:t>
      </w:r>
      <w:r w:rsidRPr="00C54183">
        <w:rPr>
          <w:rFonts w:cstheme="majorHAnsi"/>
          <w:szCs w:val="26"/>
          <w:lang w:val="en-US"/>
        </w:rPr>
        <w:t xml:space="preserve"> áp dụng hành vi điều chỉnh lợi nhuận hơn các công ty ở quy mô vừa và nhỏ. Kết quả này nhất quán với nghiên cứu của </w:t>
      </w:r>
      <w:r w:rsidR="00E44D53" w:rsidRPr="002C2D27">
        <w:rPr>
          <w:rFonts w:cstheme="majorHAnsi"/>
          <w:szCs w:val="26"/>
          <w:lang w:val="en-US"/>
        </w:rPr>
        <w:t xml:space="preserve">Charitou </w:t>
      </w:r>
      <w:r w:rsidR="00E44D53">
        <w:rPr>
          <w:rFonts w:cstheme="majorHAnsi"/>
          <w:szCs w:val="26"/>
          <w:lang w:val="en-US"/>
        </w:rPr>
        <w:t>và cộng sự</w:t>
      </w:r>
      <w:r w:rsidR="00E44D53" w:rsidRPr="002C2D27">
        <w:rPr>
          <w:rFonts w:cstheme="majorHAnsi"/>
          <w:szCs w:val="26"/>
          <w:lang w:val="en-US"/>
        </w:rPr>
        <w:t xml:space="preserve">, 2011; Chen </w:t>
      </w:r>
      <w:r w:rsidR="00E44D53">
        <w:rPr>
          <w:rFonts w:cstheme="majorHAnsi"/>
          <w:szCs w:val="26"/>
          <w:lang w:val="en-US"/>
        </w:rPr>
        <w:t>và cộng sự</w:t>
      </w:r>
      <w:r w:rsidR="00E44D53" w:rsidRPr="002C2D27">
        <w:rPr>
          <w:rFonts w:cstheme="majorHAnsi"/>
          <w:szCs w:val="26"/>
          <w:lang w:val="en-US"/>
        </w:rPr>
        <w:t xml:space="preserve">, 2010; Habib </w:t>
      </w:r>
      <w:r w:rsidR="00E44D53">
        <w:rPr>
          <w:rFonts w:cstheme="majorHAnsi"/>
          <w:szCs w:val="26"/>
          <w:lang w:val="en-US"/>
        </w:rPr>
        <w:t>và cộng sự, 2013; Selahudin và cộng sự</w:t>
      </w:r>
      <w:r w:rsidR="00E44D53" w:rsidRPr="002C2D27">
        <w:rPr>
          <w:rFonts w:cstheme="majorHAnsi"/>
          <w:szCs w:val="26"/>
          <w:lang w:val="en-US"/>
        </w:rPr>
        <w:t>, 2014</w:t>
      </w:r>
      <w:r w:rsidR="00E44D53">
        <w:rPr>
          <w:rFonts w:cstheme="majorHAnsi"/>
          <w:szCs w:val="26"/>
          <w:lang w:val="en-US"/>
        </w:rPr>
        <w:t>.</w:t>
      </w:r>
    </w:p>
    <w:p w14:paraId="61C8A6BA" w14:textId="474EABEB" w:rsidR="0042091E" w:rsidRPr="001B2A24" w:rsidRDefault="001123C1" w:rsidP="00006276">
      <w:pPr>
        <w:spacing w:after="0" w:line="360" w:lineRule="auto"/>
        <w:ind w:firstLine="720"/>
        <w:rPr>
          <w:rFonts w:cstheme="majorHAnsi"/>
          <w:szCs w:val="26"/>
          <w:lang w:val="en-US"/>
        </w:rPr>
      </w:pPr>
      <w:r>
        <w:rPr>
          <w:rFonts w:cstheme="majorHAnsi"/>
          <w:szCs w:val="26"/>
          <w:lang w:val="en-US"/>
        </w:rPr>
        <w:t>Biến LEV, WCA</w:t>
      </w:r>
      <w:r w:rsidR="000C5D30">
        <w:rPr>
          <w:rFonts w:cstheme="majorHAnsi"/>
          <w:szCs w:val="26"/>
          <w:lang w:val="en-US"/>
        </w:rPr>
        <w:t xml:space="preserve"> </w:t>
      </w:r>
      <w:r w:rsidR="000C5D30" w:rsidRPr="00C54183">
        <w:rPr>
          <w:rFonts w:cstheme="majorHAnsi"/>
          <w:szCs w:val="26"/>
          <w:lang w:val="en-US"/>
        </w:rPr>
        <w:t xml:space="preserve">có mức ý nghĩa thống kê ở mô hình nghiên cứu và có tác động </w:t>
      </w:r>
      <w:r w:rsidR="000C5D30">
        <w:rPr>
          <w:rFonts w:cstheme="majorHAnsi"/>
          <w:szCs w:val="26"/>
          <w:lang w:val="en-US"/>
        </w:rPr>
        <w:t>nghịch</w:t>
      </w:r>
      <w:r w:rsidR="000C5D30" w:rsidRPr="00C54183">
        <w:rPr>
          <w:rFonts w:cstheme="majorHAnsi"/>
          <w:szCs w:val="26"/>
          <w:lang w:val="en-US"/>
        </w:rPr>
        <w:t xml:space="preserve"> đến </w:t>
      </w:r>
      <w:r w:rsidR="000C5D30">
        <w:rPr>
          <w:rFonts w:cstheme="majorHAnsi"/>
          <w:szCs w:val="26"/>
          <w:lang w:val="en-US"/>
        </w:rPr>
        <w:t>chất lượng báo cáo tài chính</w:t>
      </w:r>
      <w:r w:rsidR="000C5D30" w:rsidRPr="00C54183">
        <w:rPr>
          <w:rFonts w:cstheme="majorHAnsi"/>
          <w:szCs w:val="26"/>
          <w:lang w:val="en-US"/>
        </w:rPr>
        <w:t xml:space="preserve"> và có ý nghĩa thống kê.</w:t>
      </w:r>
      <w:r w:rsidR="00006276">
        <w:rPr>
          <w:rFonts w:cstheme="majorHAnsi"/>
          <w:szCs w:val="26"/>
          <w:lang w:val="en-US"/>
        </w:rPr>
        <w:t xml:space="preserve"> Điều này cho thấy các công ty sử dụng đòn bẩy tài chính, vốn lưu động dẫn đến chi phí lãi vay cao sẽ có xu hướng sử dụng thủ thuật kế toán nhằm làm đẹp báo cáo tài chính trong ngắn hạn. Kết quả nghiên cứu này trùng hợp với </w:t>
      </w:r>
      <w:r w:rsidR="00006276" w:rsidRPr="002C2D27">
        <w:rPr>
          <w:rFonts w:cstheme="majorHAnsi"/>
          <w:szCs w:val="26"/>
          <w:lang w:val="en-US"/>
        </w:rPr>
        <w:t xml:space="preserve">Charitou </w:t>
      </w:r>
      <w:r w:rsidR="00006276">
        <w:rPr>
          <w:rFonts w:cstheme="majorHAnsi"/>
          <w:szCs w:val="26"/>
          <w:lang w:val="en-US"/>
        </w:rPr>
        <w:t>và cộng sự</w:t>
      </w:r>
      <w:r w:rsidR="00006276" w:rsidRPr="002C2D27">
        <w:rPr>
          <w:rFonts w:cstheme="majorHAnsi"/>
          <w:szCs w:val="26"/>
          <w:lang w:val="en-US"/>
        </w:rPr>
        <w:t xml:space="preserve">, 2011; Chen </w:t>
      </w:r>
      <w:r w:rsidR="00006276">
        <w:rPr>
          <w:rFonts w:cstheme="majorHAnsi"/>
          <w:szCs w:val="26"/>
          <w:lang w:val="en-US"/>
        </w:rPr>
        <w:t>và cộng sự</w:t>
      </w:r>
      <w:r w:rsidR="00006276" w:rsidRPr="002C2D27">
        <w:rPr>
          <w:rFonts w:cstheme="majorHAnsi"/>
          <w:szCs w:val="26"/>
          <w:lang w:val="en-US"/>
        </w:rPr>
        <w:t xml:space="preserve">, 2010; Habib </w:t>
      </w:r>
      <w:r w:rsidR="00006276">
        <w:rPr>
          <w:rFonts w:cstheme="majorHAnsi"/>
          <w:szCs w:val="26"/>
          <w:lang w:val="en-US"/>
        </w:rPr>
        <w:t>và cộng sự, 2013.</w:t>
      </w:r>
    </w:p>
    <w:p w14:paraId="7B67B463" w14:textId="77777777" w:rsidR="001F48AA" w:rsidRPr="00341848" w:rsidRDefault="001F48AA" w:rsidP="00361353">
      <w:pPr>
        <w:pStyle w:val="ListParagraph"/>
        <w:numPr>
          <w:ilvl w:val="0"/>
          <w:numId w:val="5"/>
        </w:numPr>
        <w:spacing w:after="0" w:line="360" w:lineRule="auto"/>
        <w:ind w:left="0" w:firstLine="0"/>
        <w:rPr>
          <w:rFonts w:cstheme="majorHAnsi"/>
          <w:b/>
          <w:szCs w:val="26"/>
          <w:lang w:val="en-US"/>
        </w:rPr>
      </w:pPr>
      <w:r w:rsidRPr="00341848">
        <w:rPr>
          <w:rFonts w:cstheme="majorHAnsi"/>
          <w:b/>
          <w:szCs w:val="26"/>
          <w:lang w:val="en-US"/>
        </w:rPr>
        <w:t>K</w:t>
      </w:r>
      <w:r w:rsidR="002F3101" w:rsidRPr="00341848">
        <w:rPr>
          <w:rFonts w:cstheme="majorHAnsi"/>
          <w:b/>
          <w:szCs w:val="26"/>
          <w:lang w:val="en-US"/>
        </w:rPr>
        <w:t>ết luận và kiến nghị</w:t>
      </w:r>
    </w:p>
    <w:p w14:paraId="548043FB" w14:textId="77777777" w:rsidR="001F48AA" w:rsidRPr="00341848" w:rsidRDefault="001F48AA" w:rsidP="00361353">
      <w:pPr>
        <w:pStyle w:val="ListParagraph"/>
        <w:numPr>
          <w:ilvl w:val="1"/>
          <w:numId w:val="5"/>
        </w:numPr>
        <w:spacing w:after="0" w:line="360" w:lineRule="auto"/>
        <w:ind w:left="0" w:firstLine="0"/>
        <w:rPr>
          <w:rFonts w:cstheme="majorHAnsi"/>
          <w:b/>
          <w:szCs w:val="26"/>
          <w:lang w:val="en-US"/>
        </w:rPr>
      </w:pPr>
      <w:r w:rsidRPr="00341848">
        <w:rPr>
          <w:rFonts w:cstheme="majorHAnsi"/>
          <w:b/>
          <w:szCs w:val="26"/>
          <w:lang w:val="en-US"/>
        </w:rPr>
        <w:t>Nhận xét về kết quả nghiên cứu</w:t>
      </w:r>
    </w:p>
    <w:p w14:paraId="57BCE480" w14:textId="4C275434" w:rsidR="0098122C" w:rsidRPr="00341848" w:rsidRDefault="007D2DD7" w:rsidP="00361353">
      <w:pPr>
        <w:spacing w:after="0" w:line="360" w:lineRule="auto"/>
        <w:rPr>
          <w:rFonts w:cstheme="majorHAnsi"/>
          <w:szCs w:val="26"/>
          <w:lang w:val="en-US"/>
        </w:rPr>
      </w:pPr>
      <w:r w:rsidRPr="00363222">
        <w:rPr>
          <w:rFonts w:cstheme="majorHAnsi"/>
          <w:szCs w:val="26"/>
          <w:lang w:val="en-US"/>
        </w:rPr>
        <w:t>K</w:t>
      </w:r>
      <w:r w:rsidR="0098122C" w:rsidRPr="00363222">
        <w:rPr>
          <w:rFonts w:cstheme="majorHAnsi"/>
          <w:szCs w:val="26"/>
          <w:lang w:val="en-US"/>
        </w:rPr>
        <w:t>ế</w:t>
      </w:r>
      <w:r w:rsidRPr="00363222">
        <w:rPr>
          <w:rFonts w:cstheme="majorHAnsi"/>
          <w:szCs w:val="26"/>
          <w:lang w:val="en-US"/>
        </w:rPr>
        <w:t xml:space="preserve">t </w:t>
      </w:r>
      <w:r w:rsidR="0098122C" w:rsidRPr="00363222">
        <w:rPr>
          <w:rFonts w:cstheme="majorHAnsi"/>
          <w:szCs w:val="26"/>
          <w:lang w:val="en-US"/>
        </w:rPr>
        <w:t>quả nghiên cứu cho thấy</w:t>
      </w:r>
      <w:r w:rsidR="00C07341" w:rsidRPr="00363222">
        <w:rPr>
          <w:rFonts w:cstheme="majorHAnsi"/>
          <w:szCs w:val="26"/>
          <w:lang w:val="en-US"/>
        </w:rPr>
        <w:t>,</w:t>
      </w:r>
      <w:r w:rsidR="0098122C" w:rsidRPr="00363222">
        <w:rPr>
          <w:rFonts w:cstheme="majorHAnsi"/>
          <w:szCs w:val="26"/>
          <w:lang w:val="en-US"/>
        </w:rPr>
        <w:t xml:space="preserve"> </w:t>
      </w:r>
      <w:r w:rsidR="0064089E">
        <w:rPr>
          <w:rFonts w:cstheme="majorHAnsi"/>
          <w:szCs w:val="26"/>
          <w:lang w:val="en-US"/>
        </w:rPr>
        <w:t>khả năng hoạt động liên tục</w:t>
      </w:r>
      <w:r w:rsidR="00833A4E" w:rsidRPr="00363222">
        <w:rPr>
          <w:rFonts w:cstheme="majorHAnsi"/>
          <w:szCs w:val="26"/>
          <w:lang w:val="en-US"/>
        </w:rPr>
        <w:t xml:space="preserve"> </w:t>
      </w:r>
      <w:r w:rsidR="0098122C" w:rsidRPr="00363222">
        <w:rPr>
          <w:rFonts w:cstheme="majorHAnsi"/>
          <w:szCs w:val="26"/>
          <w:lang w:val="en-US"/>
        </w:rPr>
        <w:t xml:space="preserve">có tác động </w:t>
      </w:r>
      <w:r w:rsidR="00833A4E" w:rsidRPr="00363222">
        <w:rPr>
          <w:rFonts w:cstheme="majorHAnsi"/>
          <w:szCs w:val="26"/>
          <w:lang w:val="en-US"/>
        </w:rPr>
        <w:t xml:space="preserve">thuận chiều </w:t>
      </w:r>
      <w:r w:rsidR="0098122C" w:rsidRPr="00363222">
        <w:rPr>
          <w:rFonts w:cstheme="majorHAnsi"/>
          <w:szCs w:val="26"/>
          <w:lang w:val="en-US"/>
        </w:rPr>
        <w:t>đế</w:t>
      </w:r>
      <w:r w:rsidR="00833A4E" w:rsidRPr="00363222">
        <w:rPr>
          <w:rFonts w:cstheme="majorHAnsi"/>
          <w:szCs w:val="26"/>
          <w:lang w:val="en-US"/>
        </w:rPr>
        <w:t xml:space="preserve">n </w:t>
      </w:r>
      <w:r w:rsidR="00315B07">
        <w:rPr>
          <w:rFonts w:cstheme="majorHAnsi"/>
          <w:szCs w:val="26"/>
          <w:lang w:val="en-US"/>
        </w:rPr>
        <w:t>chất lượng báo cáo tài chính</w:t>
      </w:r>
      <w:r w:rsidRPr="00363222">
        <w:rPr>
          <w:rFonts w:cstheme="majorHAnsi"/>
          <w:szCs w:val="26"/>
          <w:lang w:val="en-US"/>
        </w:rPr>
        <w:t>.</w:t>
      </w:r>
      <w:r w:rsidR="0098122C" w:rsidRPr="00363222">
        <w:rPr>
          <w:rFonts w:cstheme="majorHAnsi"/>
          <w:szCs w:val="26"/>
          <w:lang w:val="en-US"/>
        </w:rPr>
        <w:t xml:space="preserve"> </w:t>
      </w:r>
      <w:r w:rsidR="00DE67C0">
        <w:rPr>
          <w:rFonts w:cstheme="majorHAnsi"/>
          <w:szCs w:val="26"/>
          <w:lang w:val="en-US"/>
        </w:rPr>
        <w:t>Từ đó cho thấy, t</w:t>
      </w:r>
      <w:r w:rsidR="00833A4E" w:rsidRPr="00363222">
        <w:rPr>
          <w:rFonts w:cstheme="majorHAnsi"/>
          <w:szCs w:val="26"/>
          <w:lang w:val="en-US"/>
        </w:rPr>
        <w:t xml:space="preserve">ình hình </w:t>
      </w:r>
      <w:r w:rsidR="008116B0">
        <w:rPr>
          <w:rFonts w:cstheme="majorHAnsi"/>
          <w:szCs w:val="26"/>
          <w:lang w:val="en-US"/>
        </w:rPr>
        <w:t xml:space="preserve">sức khỏe </w:t>
      </w:r>
      <w:r w:rsidR="00833A4E" w:rsidRPr="00363222">
        <w:rPr>
          <w:rFonts w:cstheme="majorHAnsi"/>
          <w:szCs w:val="26"/>
          <w:lang w:val="en-US"/>
        </w:rPr>
        <w:t xml:space="preserve">tài chính của công ty có ảnh hưởng đến </w:t>
      </w:r>
      <w:r w:rsidR="00315B07">
        <w:rPr>
          <w:rFonts w:cstheme="majorHAnsi"/>
          <w:szCs w:val="26"/>
          <w:lang w:val="en-US"/>
        </w:rPr>
        <w:t>chất lượng báo cáo tài chính</w:t>
      </w:r>
      <w:r w:rsidR="00833A4E" w:rsidRPr="00363222">
        <w:rPr>
          <w:rFonts w:cstheme="majorHAnsi"/>
          <w:szCs w:val="26"/>
          <w:lang w:val="en-US"/>
        </w:rPr>
        <w:t>.</w:t>
      </w:r>
      <w:r w:rsidR="0098122C" w:rsidRPr="00363222">
        <w:rPr>
          <w:rFonts w:cstheme="majorHAnsi"/>
          <w:szCs w:val="26"/>
          <w:lang w:val="en-US"/>
        </w:rPr>
        <w:t xml:space="preserve"> Bên cạnh đó, </w:t>
      </w:r>
      <w:r w:rsidR="004F4604">
        <w:rPr>
          <w:rFonts w:cstheme="majorHAnsi"/>
          <w:szCs w:val="26"/>
          <w:lang w:val="en-US"/>
        </w:rPr>
        <w:t xml:space="preserve">các yếu tố như đòn bẩy tài chính, khả năng sinh lời, quy mô doanh nghiệp cũng có tác động đến </w:t>
      </w:r>
      <w:r w:rsidR="00315B07">
        <w:rPr>
          <w:rFonts w:cstheme="majorHAnsi"/>
          <w:szCs w:val="26"/>
          <w:lang w:val="en-US"/>
        </w:rPr>
        <w:t>chất lượng báo cáo tài chính</w:t>
      </w:r>
      <w:r w:rsidRPr="00363222">
        <w:rPr>
          <w:rFonts w:cstheme="majorHAnsi"/>
          <w:szCs w:val="26"/>
          <w:lang w:val="en-US"/>
        </w:rPr>
        <w:t xml:space="preserve">. </w:t>
      </w:r>
      <w:r w:rsidR="004F4604">
        <w:rPr>
          <w:rFonts w:cstheme="majorHAnsi"/>
          <w:szCs w:val="26"/>
          <w:lang w:val="en-US"/>
        </w:rPr>
        <w:t>Do vậy, c</w:t>
      </w:r>
      <w:r w:rsidRPr="00363222">
        <w:rPr>
          <w:rFonts w:cstheme="majorHAnsi"/>
          <w:szCs w:val="26"/>
          <w:lang w:val="en-US"/>
        </w:rPr>
        <w:t>ác công ty có thể</w:t>
      </w:r>
      <w:r w:rsidR="0098122C" w:rsidRPr="00363222">
        <w:rPr>
          <w:rFonts w:cstheme="majorHAnsi"/>
          <w:szCs w:val="26"/>
          <w:lang w:val="en-US"/>
        </w:rPr>
        <w:t xml:space="preserve"> tăng vố</w:t>
      </w:r>
      <w:r w:rsidRPr="00363222">
        <w:rPr>
          <w:rFonts w:cstheme="majorHAnsi"/>
          <w:szCs w:val="26"/>
          <w:lang w:val="en-US"/>
        </w:rPr>
        <w:t>n</w:t>
      </w:r>
      <w:r w:rsidR="004F4604">
        <w:rPr>
          <w:rFonts w:cstheme="majorHAnsi"/>
          <w:szCs w:val="26"/>
          <w:lang w:val="en-US"/>
        </w:rPr>
        <w:t xml:space="preserve"> cổ phần và vốn vay</w:t>
      </w:r>
      <w:r w:rsidRPr="00363222">
        <w:rPr>
          <w:rFonts w:cstheme="majorHAnsi"/>
          <w:szCs w:val="26"/>
          <w:lang w:val="en-US"/>
        </w:rPr>
        <w:t xml:space="preserve"> </w:t>
      </w:r>
      <w:r w:rsidR="0098122C" w:rsidRPr="00363222">
        <w:rPr>
          <w:rFonts w:cstheme="majorHAnsi"/>
          <w:szCs w:val="26"/>
          <w:lang w:val="en-US"/>
        </w:rPr>
        <w:t>bằng cách thu hút nhà đầu tư thông qua việc</w:t>
      </w:r>
      <w:r w:rsidR="004F4604">
        <w:rPr>
          <w:rFonts w:cstheme="majorHAnsi"/>
          <w:szCs w:val="26"/>
          <w:lang w:val="en-US"/>
        </w:rPr>
        <w:t xml:space="preserve"> minh bạch thông tin báo cáo tài chính và cải thiện kết quả hoạt động</w:t>
      </w:r>
      <w:r w:rsidR="0098122C" w:rsidRPr="00363222">
        <w:rPr>
          <w:rFonts w:cstheme="majorHAnsi"/>
          <w:szCs w:val="26"/>
          <w:lang w:val="en-US"/>
        </w:rPr>
        <w:t>.</w:t>
      </w:r>
    </w:p>
    <w:p w14:paraId="0496E70F" w14:textId="77777777" w:rsidR="001F48AA" w:rsidRPr="00341848" w:rsidRDefault="007A308E" w:rsidP="00361353">
      <w:pPr>
        <w:pStyle w:val="ListParagraph"/>
        <w:numPr>
          <w:ilvl w:val="1"/>
          <w:numId w:val="5"/>
        </w:numPr>
        <w:spacing w:after="0" w:line="360" w:lineRule="auto"/>
        <w:ind w:left="0" w:firstLine="0"/>
        <w:rPr>
          <w:rFonts w:cstheme="majorHAnsi"/>
          <w:b/>
          <w:szCs w:val="26"/>
        </w:rPr>
      </w:pPr>
      <w:r w:rsidRPr="00341848">
        <w:rPr>
          <w:rFonts w:cstheme="majorHAnsi"/>
          <w:b/>
          <w:szCs w:val="26"/>
        </w:rPr>
        <w:lastRenderedPageBreak/>
        <w:t>K</w:t>
      </w:r>
      <w:r w:rsidRPr="00341848">
        <w:rPr>
          <w:rFonts w:cstheme="majorHAnsi"/>
          <w:b/>
          <w:szCs w:val="26"/>
          <w:lang w:val="en-US"/>
        </w:rPr>
        <w:t>iến nghị</w:t>
      </w:r>
    </w:p>
    <w:p w14:paraId="2C2AD4C9" w14:textId="021FFD1E" w:rsidR="003E4F46" w:rsidRPr="001D7A73" w:rsidRDefault="003E4F46" w:rsidP="00361353">
      <w:pPr>
        <w:spacing w:after="0" w:line="360" w:lineRule="auto"/>
        <w:rPr>
          <w:rFonts w:cstheme="majorHAnsi"/>
          <w:szCs w:val="26"/>
          <w:lang w:val="en-US"/>
        </w:rPr>
      </w:pPr>
      <w:r w:rsidRPr="001D7A73">
        <w:rPr>
          <w:rFonts w:cstheme="majorHAnsi"/>
          <w:szCs w:val="26"/>
          <w:lang w:val="en-US"/>
        </w:rPr>
        <w:t>Từ kết quả của nghiên cứu, tác giả đề xuất một số khuyến nghị đối với các công ty niêm yết</w:t>
      </w:r>
      <w:r w:rsidR="00C21555">
        <w:rPr>
          <w:rFonts w:cstheme="majorHAnsi"/>
          <w:szCs w:val="26"/>
          <w:lang w:val="en-US"/>
        </w:rPr>
        <w:t>,</w:t>
      </w:r>
      <w:r w:rsidRPr="001D7A73">
        <w:rPr>
          <w:rFonts w:cstheme="majorHAnsi"/>
          <w:szCs w:val="26"/>
          <w:lang w:val="en-US"/>
        </w:rPr>
        <w:t xml:space="preserve"> cũng như các nhà đầu tư và cơ quan quản lý.</w:t>
      </w:r>
    </w:p>
    <w:p w14:paraId="0231EE8D" w14:textId="77777777" w:rsidR="004004B9" w:rsidRPr="001D7A73" w:rsidRDefault="009D76D6" w:rsidP="00361353">
      <w:pPr>
        <w:spacing w:after="0" w:line="360" w:lineRule="auto"/>
        <w:rPr>
          <w:rFonts w:cstheme="majorHAnsi"/>
          <w:b/>
          <w:szCs w:val="26"/>
          <w:lang w:val="en-US"/>
        </w:rPr>
      </w:pPr>
      <w:r w:rsidRPr="001D7A73">
        <w:rPr>
          <w:rFonts w:cstheme="majorHAnsi"/>
          <w:b/>
          <w:i/>
          <w:szCs w:val="26"/>
        </w:rPr>
        <w:t>Đối với công ty niêm yết</w:t>
      </w:r>
    </w:p>
    <w:p w14:paraId="50994E4B" w14:textId="0AEC1533" w:rsidR="009D76D6" w:rsidRPr="001D7A73" w:rsidRDefault="004004B9" w:rsidP="00361353">
      <w:pPr>
        <w:spacing w:after="0" w:line="360" w:lineRule="auto"/>
        <w:rPr>
          <w:rFonts w:cstheme="majorHAnsi"/>
          <w:szCs w:val="26"/>
          <w:lang w:val="tr-TR"/>
        </w:rPr>
      </w:pPr>
      <w:r w:rsidRPr="001D7A73">
        <w:rPr>
          <w:rFonts w:cstheme="majorHAnsi"/>
          <w:szCs w:val="26"/>
          <w:lang w:val="en-US"/>
        </w:rPr>
        <w:t>Đầu tiên,</w:t>
      </w:r>
      <w:r w:rsidRPr="001D7A73">
        <w:rPr>
          <w:rFonts w:cstheme="majorHAnsi"/>
          <w:b/>
          <w:szCs w:val="26"/>
          <w:lang w:val="en-US"/>
        </w:rPr>
        <w:t xml:space="preserve"> </w:t>
      </w:r>
      <w:r w:rsidR="009D76D6" w:rsidRPr="001D7A73">
        <w:rPr>
          <w:rFonts w:cstheme="majorHAnsi"/>
          <w:szCs w:val="26"/>
        </w:rPr>
        <w:t>d</w:t>
      </w:r>
      <w:r w:rsidR="009D76D6" w:rsidRPr="001D7A73">
        <w:rPr>
          <w:rFonts w:cstheme="majorHAnsi"/>
          <w:szCs w:val="26"/>
          <w:lang w:val="tr-TR"/>
        </w:rPr>
        <w:t>oanh nghiệp cần phải chú trọ</w:t>
      </w:r>
      <w:r w:rsidR="003E4F46" w:rsidRPr="001D7A73">
        <w:rPr>
          <w:rFonts w:cstheme="majorHAnsi"/>
          <w:szCs w:val="26"/>
          <w:lang w:val="tr-TR"/>
        </w:rPr>
        <w:t xml:space="preserve">ng </w:t>
      </w:r>
      <w:r w:rsidR="009D76D6" w:rsidRPr="001D7A73">
        <w:rPr>
          <w:rFonts w:cstheme="majorHAnsi"/>
          <w:szCs w:val="26"/>
          <w:lang w:val="tr-TR"/>
        </w:rPr>
        <w:t xml:space="preserve">một số vấn đề về công bố </w:t>
      </w:r>
      <w:r w:rsidR="009253D7" w:rsidRPr="001D7A73">
        <w:rPr>
          <w:rFonts w:cstheme="majorHAnsi"/>
          <w:szCs w:val="26"/>
          <w:lang w:val="tr-TR"/>
        </w:rPr>
        <w:t xml:space="preserve">thông tin </w:t>
      </w:r>
      <w:r w:rsidR="00C07341" w:rsidRPr="001D7A73">
        <w:rPr>
          <w:rFonts w:cstheme="majorHAnsi"/>
          <w:szCs w:val="26"/>
          <w:lang w:val="en-US"/>
        </w:rPr>
        <w:t>BCTC</w:t>
      </w:r>
      <w:r w:rsidR="009D76D6" w:rsidRPr="001D7A73">
        <w:rPr>
          <w:rFonts w:cstheme="majorHAnsi"/>
          <w:szCs w:val="26"/>
          <w:lang w:val="tr-TR"/>
        </w:rPr>
        <w:t xml:space="preserve"> như về mặt thời gian, chất lượ</w:t>
      </w:r>
      <w:r w:rsidR="00E56F92" w:rsidRPr="001D7A73">
        <w:rPr>
          <w:rFonts w:cstheme="majorHAnsi"/>
          <w:szCs w:val="26"/>
          <w:lang w:val="tr-TR"/>
        </w:rPr>
        <w:t>ng thông tin BCTC</w:t>
      </w:r>
      <w:r w:rsidR="009D76D6" w:rsidRPr="001D7A73">
        <w:rPr>
          <w:rFonts w:cstheme="majorHAnsi"/>
          <w:szCs w:val="26"/>
          <w:lang w:val="tr-TR"/>
        </w:rPr>
        <w:t>.</w:t>
      </w:r>
    </w:p>
    <w:p w14:paraId="245D807F" w14:textId="0576DF54" w:rsidR="004004B9" w:rsidRPr="001D7A73" w:rsidRDefault="004004B9" w:rsidP="00361353">
      <w:pPr>
        <w:spacing w:after="0" w:line="360" w:lineRule="auto"/>
        <w:rPr>
          <w:rFonts w:cstheme="majorHAnsi"/>
          <w:szCs w:val="26"/>
          <w:lang w:val="tr-TR"/>
        </w:rPr>
      </w:pPr>
      <w:r w:rsidRPr="001D7A73">
        <w:rPr>
          <w:rFonts w:cstheme="majorHAnsi"/>
          <w:szCs w:val="26"/>
          <w:lang w:val="tr-TR"/>
        </w:rPr>
        <w:t xml:space="preserve">Thứ hai, kế toán viên và nhà quản trị không nên hay hạn chế áp dụng các phương pháp kế toán một cách có chủ đích gây sai lệch thông tin báo cáo tài chính và ảnh hưởng đến khả năng hoạt động liên tục trong tương lai của </w:t>
      </w:r>
      <w:r w:rsidR="00C21555">
        <w:rPr>
          <w:rFonts w:cstheme="majorHAnsi"/>
          <w:szCs w:val="26"/>
          <w:lang w:val="tr-TR"/>
        </w:rPr>
        <w:t>doanh nghiệp</w:t>
      </w:r>
      <w:r w:rsidRPr="001D7A73">
        <w:rPr>
          <w:rFonts w:cstheme="majorHAnsi"/>
          <w:szCs w:val="26"/>
          <w:lang w:val="tr-TR"/>
        </w:rPr>
        <w:t xml:space="preserve"> hay quyết định nhà đầ</w:t>
      </w:r>
      <w:r w:rsidR="00CC39CC">
        <w:rPr>
          <w:rFonts w:cstheme="majorHAnsi"/>
          <w:szCs w:val="26"/>
          <w:lang w:val="tr-TR"/>
        </w:rPr>
        <w:t>u tư</w:t>
      </w:r>
      <w:r w:rsidRPr="001D7A73">
        <w:rPr>
          <w:rFonts w:cstheme="majorHAnsi"/>
          <w:szCs w:val="26"/>
          <w:lang w:val="tr-TR"/>
        </w:rPr>
        <w:t>. Chẳng hạn, hiện nay các doanh nghiệp giảm khoản dự phòng nợ xấu do đánh giá tình hình con nợ được cải thiện, giảm chi phí, tăng lợi nhuận nhằm tô hồng bức tranh tài chính của doanh nghiệp và các thủ thuật khác giữa công ty “mẹ” và “con” nhằm  giảm chi phí, gia tăng lợi nhuận. Hay là thuyết minh BCTC một cách qua loa, không đầy đủ nhằ</w:t>
      </w:r>
      <w:r w:rsidR="003E4F46" w:rsidRPr="001D7A73">
        <w:rPr>
          <w:rFonts w:cstheme="majorHAnsi"/>
          <w:szCs w:val="26"/>
          <w:lang w:val="tr-TR"/>
        </w:rPr>
        <w:t xml:space="preserve">m </w:t>
      </w:r>
      <w:r w:rsidRPr="001D7A73">
        <w:rPr>
          <w:rFonts w:cstheme="majorHAnsi"/>
          <w:szCs w:val="26"/>
          <w:lang w:val="tr-TR"/>
        </w:rPr>
        <w:t>che đi những thông tin xấu, những khoản nợ tiềm tàng, những khoản doanh thu ghi nhận không trung thực, hợp lý...</w:t>
      </w:r>
    </w:p>
    <w:p w14:paraId="32174C2C" w14:textId="77777777" w:rsidR="004004B9" w:rsidRPr="001D7A73" w:rsidRDefault="004004B9" w:rsidP="00361353">
      <w:pPr>
        <w:spacing w:after="0" w:line="360" w:lineRule="auto"/>
        <w:rPr>
          <w:rFonts w:cstheme="majorHAnsi"/>
          <w:szCs w:val="26"/>
          <w:lang w:val="tr-TR"/>
        </w:rPr>
      </w:pPr>
      <w:r w:rsidRPr="001D7A73">
        <w:rPr>
          <w:rFonts w:cstheme="majorHAnsi"/>
          <w:szCs w:val="26"/>
          <w:lang w:val="tr-TR"/>
        </w:rPr>
        <w:t>Thứ ba, các công ty niêm yết cần xây dựng niềm tin từ phía cộng đồng và nhà đầu tư thông qua các cam kết về tính minh bạch của thông tin báo cáo tài chính được công bố, chú trọ</w:t>
      </w:r>
      <w:r w:rsidR="003E4F46" w:rsidRPr="001D7A73">
        <w:rPr>
          <w:rFonts w:cstheme="majorHAnsi"/>
          <w:szCs w:val="26"/>
          <w:lang w:val="tr-TR"/>
        </w:rPr>
        <w:t>ng</w:t>
      </w:r>
      <w:r w:rsidRPr="001D7A73">
        <w:rPr>
          <w:rFonts w:cstheme="majorHAnsi"/>
          <w:szCs w:val="26"/>
          <w:lang w:val="tr-TR"/>
        </w:rPr>
        <w:t xml:space="preserve"> cam kết về chỉ tiêu lợi nhuận, doanh thu, bên cạnh việc công bố đị</w:t>
      </w:r>
      <w:r w:rsidR="003E4F46" w:rsidRPr="001D7A73">
        <w:rPr>
          <w:rFonts w:cstheme="majorHAnsi"/>
          <w:szCs w:val="26"/>
          <w:lang w:val="tr-TR"/>
        </w:rPr>
        <w:t xml:space="preserve">nh </w:t>
      </w:r>
      <w:r w:rsidRPr="001D7A73">
        <w:rPr>
          <w:rFonts w:cstheme="majorHAnsi"/>
          <w:szCs w:val="26"/>
          <w:lang w:val="tr-TR"/>
        </w:rPr>
        <w:t>kỳ theo qui định pháp luật, chuẩn mực liên quan.</w:t>
      </w:r>
    </w:p>
    <w:p w14:paraId="42D20B20" w14:textId="77777777" w:rsidR="001835A9" w:rsidRPr="001D7A73" w:rsidRDefault="009D76D6" w:rsidP="00361353">
      <w:pPr>
        <w:spacing w:after="0" w:line="360" w:lineRule="auto"/>
        <w:rPr>
          <w:rFonts w:cstheme="majorHAnsi"/>
          <w:b/>
          <w:i/>
          <w:szCs w:val="26"/>
          <w:lang w:val="tr-TR"/>
        </w:rPr>
      </w:pPr>
      <w:r w:rsidRPr="001D7A73">
        <w:rPr>
          <w:rFonts w:cstheme="majorHAnsi"/>
          <w:b/>
          <w:i/>
          <w:szCs w:val="26"/>
          <w:lang w:val="tr-TR"/>
        </w:rPr>
        <w:t>Đối với nhà đầu tư</w:t>
      </w:r>
    </w:p>
    <w:p w14:paraId="0F01ADFC" w14:textId="32C2F435" w:rsidR="003F7CF8" w:rsidRPr="001D7A73" w:rsidRDefault="00566F41" w:rsidP="00361353">
      <w:pPr>
        <w:spacing w:after="0" w:line="360" w:lineRule="auto"/>
        <w:rPr>
          <w:rFonts w:cstheme="majorHAnsi"/>
          <w:szCs w:val="26"/>
          <w:lang w:val="tr-TR"/>
        </w:rPr>
      </w:pPr>
      <w:r w:rsidRPr="001D7A73">
        <w:rPr>
          <w:rFonts w:cstheme="majorHAnsi"/>
          <w:b/>
          <w:i/>
          <w:szCs w:val="26"/>
          <w:lang w:val="tr-TR"/>
        </w:rPr>
        <w:t xml:space="preserve"> </w:t>
      </w:r>
      <w:r w:rsidRPr="001D7A73">
        <w:rPr>
          <w:rFonts w:cstheme="majorHAnsi"/>
          <w:szCs w:val="26"/>
          <w:lang w:val="tr-TR"/>
        </w:rPr>
        <w:t>Hỗ trợ quá trình ra quyết định của nhà đầu tư,</w:t>
      </w:r>
      <w:r w:rsidR="00D44DAC" w:rsidRPr="001D7A73">
        <w:rPr>
          <w:rFonts w:cstheme="majorHAnsi"/>
          <w:szCs w:val="26"/>
          <w:lang w:val="tr-TR"/>
        </w:rPr>
        <w:t xml:space="preserve"> dự báo </w:t>
      </w:r>
      <w:r w:rsidR="00B52384">
        <w:rPr>
          <w:rFonts w:cstheme="majorHAnsi"/>
          <w:szCs w:val="26"/>
          <w:lang w:val="tr-TR"/>
        </w:rPr>
        <w:t>sức khỏe doanh nghiệp</w:t>
      </w:r>
      <w:r w:rsidR="00D44DAC" w:rsidRPr="001D7A73">
        <w:rPr>
          <w:rFonts w:cstheme="majorHAnsi"/>
          <w:szCs w:val="26"/>
          <w:lang w:val="tr-TR"/>
        </w:rPr>
        <w:t xml:space="preserve"> thông qua </w:t>
      </w:r>
      <w:r w:rsidR="00BB23FE">
        <w:rPr>
          <w:rFonts w:cstheme="majorHAnsi"/>
          <w:szCs w:val="26"/>
          <w:lang w:val="tr-TR"/>
        </w:rPr>
        <w:t>đo lường khả năng hoạt động liên tục</w:t>
      </w:r>
      <w:r w:rsidRPr="001D7A73">
        <w:rPr>
          <w:rFonts w:cstheme="majorHAnsi"/>
          <w:szCs w:val="26"/>
          <w:lang w:val="tr-TR"/>
        </w:rPr>
        <w:t xml:space="preserve"> chính là thể hiện tầm nhìn, giá trị tương lai mà nhà đầu tư mong muốn, do đó khi tín hiệu về </w:t>
      </w:r>
      <w:r w:rsidR="001444BE">
        <w:rPr>
          <w:rFonts w:cstheme="majorHAnsi"/>
          <w:szCs w:val="26"/>
          <w:lang w:val="tr-TR"/>
        </w:rPr>
        <w:t>khả năng hoạt động liên tục</w:t>
      </w:r>
      <w:r w:rsidRPr="001D7A73">
        <w:rPr>
          <w:rFonts w:cstheme="majorHAnsi"/>
          <w:szCs w:val="26"/>
          <w:lang w:val="tr-TR"/>
        </w:rPr>
        <w:t xml:space="preserve"> cao thì nhà đầu tư nên xem xét các khoản mục đầu tư có vấn đề hay không nhằm đưa ra quyết định đúng đắn. Vì vậy, nhà đầu tư có thể dựa trên việc phân tích </w:t>
      </w:r>
      <w:r w:rsidR="001444BE">
        <w:rPr>
          <w:rFonts w:cstheme="majorHAnsi"/>
          <w:szCs w:val="26"/>
          <w:lang w:val="tr-TR"/>
        </w:rPr>
        <w:t>khả năng hoạt động liên tục sẽ quyết định khả năng vay nợ của doanh nghiệp</w:t>
      </w:r>
      <w:r w:rsidRPr="001D7A73">
        <w:rPr>
          <w:rFonts w:cstheme="majorHAnsi"/>
          <w:szCs w:val="26"/>
          <w:lang w:val="tr-TR"/>
        </w:rPr>
        <w:t xml:space="preserve"> </w:t>
      </w:r>
      <w:r w:rsidR="003B38C7" w:rsidRPr="001D7A73">
        <w:rPr>
          <w:rFonts w:cstheme="majorHAnsi"/>
          <w:szCs w:val="26"/>
          <w:lang w:val="tr-TR"/>
        </w:rPr>
        <w:t xml:space="preserve">như là một tín hiệu cần thiết </w:t>
      </w:r>
      <w:r w:rsidRPr="001D7A73">
        <w:rPr>
          <w:rFonts w:cstheme="majorHAnsi"/>
          <w:szCs w:val="26"/>
          <w:lang w:val="tr-TR"/>
        </w:rPr>
        <w:t>để ra quyết định đầu tư.</w:t>
      </w:r>
    </w:p>
    <w:p w14:paraId="4E7C4A7A" w14:textId="77777777" w:rsidR="001835A9" w:rsidRPr="001D7A73" w:rsidRDefault="009D76D6" w:rsidP="00361353">
      <w:pPr>
        <w:spacing w:after="0" w:line="360" w:lineRule="auto"/>
        <w:rPr>
          <w:rFonts w:cstheme="majorHAnsi"/>
          <w:szCs w:val="26"/>
          <w:lang w:val="tr-TR"/>
        </w:rPr>
      </w:pPr>
      <w:r w:rsidRPr="001D7A73">
        <w:rPr>
          <w:rFonts w:cstheme="majorHAnsi"/>
          <w:b/>
          <w:i/>
          <w:szCs w:val="26"/>
          <w:lang w:val="tr-TR"/>
        </w:rPr>
        <w:t>Đối với cơ quan quản lý</w:t>
      </w:r>
    </w:p>
    <w:p w14:paraId="1142116D" w14:textId="45444823" w:rsidR="009D76D6" w:rsidRPr="001D7A73" w:rsidRDefault="00CB52D2" w:rsidP="00361353">
      <w:pPr>
        <w:spacing w:after="0" w:line="360" w:lineRule="auto"/>
        <w:rPr>
          <w:rFonts w:cstheme="majorHAnsi"/>
          <w:szCs w:val="26"/>
          <w:lang w:val="tr-TR"/>
        </w:rPr>
      </w:pPr>
      <w:r w:rsidRPr="001D7A73">
        <w:rPr>
          <w:rFonts w:cstheme="majorHAnsi"/>
          <w:szCs w:val="26"/>
          <w:lang w:val="tr-TR"/>
        </w:rPr>
        <w:t>Mục tiêu chung của các cơ quan quan lý liên quan là ổn định và phát triể</w:t>
      </w:r>
      <w:r w:rsidR="004D142B" w:rsidRPr="001D7A73">
        <w:rPr>
          <w:rFonts w:cstheme="majorHAnsi"/>
          <w:szCs w:val="26"/>
          <w:lang w:val="tr-TR"/>
        </w:rPr>
        <w:t>n thị trường chứng khoán</w:t>
      </w:r>
      <w:r w:rsidRPr="001D7A73">
        <w:rPr>
          <w:rFonts w:cstheme="majorHAnsi"/>
          <w:szCs w:val="26"/>
          <w:lang w:val="tr-TR"/>
        </w:rPr>
        <w:t>. Việc làm này thể hiện qua việc quản lý để tăng hiệu quả đầu tư; thu hút nhà đầu tư và tăng tính thanh khoản cho thị trường; quản lý các vấn đề về minh bạch như chất lượng, thời điểm công bố, hành tiêu cực để gia tăng tính hiệu quả của TTCK.</w:t>
      </w:r>
      <w:r w:rsidR="00A96C89" w:rsidRPr="001D7A73">
        <w:rPr>
          <w:rFonts w:cstheme="majorHAnsi"/>
          <w:szCs w:val="26"/>
          <w:lang w:val="tr-TR"/>
        </w:rPr>
        <w:t xml:space="preserve"> Do đó,</w:t>
      </w:r>
      <w:r w:rsidRPr="001D7A73">
        <w:rPr>
          <w:rFonts w:cstheme="majorHAnsi"/>
          <w:szCs w:val="26"/>
          <w:lang w:val="tr-TR"/>
        </w:rPr>
        <w:t xml:space="preserve"> công </w:t>
      </w:r>
      <w:r w:rsidRPr="001D7A73">
        <w:rPr>
          <w:rFonts w:cstheme="majorHAnsi"/>
          <w:szCs w:val="26"/>
          <w:lang w:val="tr-TR"/>
        </w:rPr>
        <w:lastRenderedPageBreak/>
        <w:t xml:space="preserve">ty niêm yết có </w:t>
      </w:r>
      <w:r w:rsidR="009D5646">
        <w:rPr>
          <w:rFonts w:cstheme="majorHAnsi"/>
          <w:szCs w:val="26"/>
          <w:lang w:val="tr-TR"/>
        </w:rPr>
        <w:t>ngưỡng hoạt động liên tục</w:t>
      </w:r>
      <w:r w:rsidRPr="001D7A73">
        <w:rPr>
          <w:rFonts w:cstheme="majorHAnsi"/>
          <w:szCs w:val="26"/>
          <w:lang w:val="tr-TR"/>
        </w:rPr>
        <w:t xml:space="preserve"> ở mức báo động</w:t>
      </w:r>
      <w:r w:rsidR="00A96C89" w:rsidRPr="001D7A73">
        <w:rPr>
          <w:rFonts w:cstheme="majorHAnsi"/>
          <w:szCs w:val="26"/>
          <w:lang w:val="tr-TR"/>
        </w:rPr>
        <w:t xml:space="preserve"> hay đạt ngưỡng sẽ ảnh </w:t>
      </w:r>
      <w:r w:rsidR="003E4F46" w:rsidRPr="001D7A73">
        <w:rPr>
          <w:rFonts w:cstheme="majorHAnsi"/>
          <w:szCs w:val="26"/>
          <w:lang w:val="tr-TR"/>
        </w:rPr>
        <w:t xml:space="preserve">hưởng </w:t>
      </w:r>
      <w:r w:rsidR="00A96C89" w:rsidRPr="001D7A73">
        <w:rPr>
          <w:rFonts w:cstheme="majorHAnsi"/>
          <w:szCs w:val="26"/>
          <w:lang w:val="tr-TR"/>
        </w:rPr>
        <w:t>xấu đến thị</w:t>
      </w:r>
      <w:r w:rsidRPr="001D7A73">
        <w:rPr>
          <w:rFonts w:cstheme="majorHAnsi"/>
          <w:szCs w:val="26"/>
          <w:lang w:val="tr-TR"/>
        </w:rPr>
        <w:t xml:space="preserve"> </w:t>
      </w:r>
      <w:r w:rsidR="003E4F46" w:rsidRPr="001D7A73">
        <w:rPr>
          <w:rFonts w:cstheme="majorHAnsi"/>
          <w:szCs w:val="26"/>
          <w:lang w:val="tr-TR"/>
        </w:rPr>
        <w:t xml:space="preserve">trường </w:t>
      </w:r>
      <w:r w:rsidRPr="001D7A73">
        <w:rPr>
          <w:rFonts w:cstheme="majorHAnsi"/>
          <w:szCs w:val="26"/>
          <w:lang w:val="tr-TR"/>
        </w:rPr>
        <w:t>thì đó chính là những công ty cần được kiểm tra, xem xét đến, nhằm nâng cao tính minh bạch thông tin báo cáo tài chính.</w:t>
      </w:r>
    </w:p>
    <w:p w14:paraId="6145CC4A" w14:textId="77777777" w:rsidR="001F48AA" w:rsidRDefault="00AD39DA" w:rsidP="00361353">
      <w:pPr>
        <w:spacing w:after="0" w:line="360" w:lineRule="auto"/>
        <w:jc w:val="center"/>
        <w:rPr>
          <w:rFonts w:cstheme="majorHAnsi"/>
          <w:b/>
          <w:szCs w:val="26"/>
        </w:rPr>
      </w:pPr>
      <w:r w:rsidRPr="00341848">
        <w:rPr>
          <w:rFonts w:cstheme="majorHAnsi"/>
          <w:b/>
          <w:szCs w:val="26"/>
        </w:rPr>
        <w:t>TÀI LIỆU THAM KHẢO</w:t>
      </w:r>
    </w:p>
    <w:p w14:paraId="0B737ACA" w14:textId="77777777" w:rsidR="00840928" w:rsidRDefault="00840928" w:rsidP="005811C6">
      <w:pPr>
        <w:spacing w:after="0" w:line="360" w:lineRule="auto"/>
        <w:rPr>
          <w:rFonts w:cstheme="majorHAnsi"/>
          <w:szCs w:val="26"/>
          <w:lang w:val="en-US"/>
        </w:rPr>
      </w:pPr>
    </w:p>
    <w:p w14:paraId="6A8D1022" w14:textId="77777777" w:rsidR="00A657C3" w:rsidRDefault="00A657C3" w:rsidP="005811C6">
      <w:pPr>
        <w:spacing w:after="0" w:line="360" w:lineRule="auto"/>
        <w:rPr>
          <w:rFonts w:cstheme="majorHAnsi"/>
          <w:szCs w:val="26"/>
        </w:rPr>
      </w:pPr>
      <w:r w:rsidRPr="00865CC1">
        <w:rPr>
          <w:rFonts w:cstheme="majorHAnsi"/>
          <w:szCs w:val="26"/>
        </w:rPr>
        <w:t xml:space="preserve">Agrawal, K., &amp; Chatterjee, C. (2015). Earnings management and financial distress: Evidence from India. </w:t>
      </w:r>
      <w:r w:rsidRPr="00996351">
        <w:rPr>
          <w:rFonts w:cstheme="majorHAnsi"/>
          <w:i/>
          <w:szCs w:val="26"/>
        </w:rPr>
        <w:t>Global Business Review</w:t>
      </w:r>
      <w:r w:rsidRPr="00865CC1">
        <w:rPr>
          <w:rFonts w:cstheme="majorHAnsi"/>
          <w:szCs w:val="26"/>
        </w:rPr>
        <w:t>, 16(5_suppl), 140S-154S.</w:t>
      </w:r>
    </w:p>
    <w:p w14:paraId="40B0E196" w14:textId="77777777" w:rsidR="00A657C3" w:rsidRPr="00110D6C" w:rsidRDefault="00A657C3" w:rsidP="00110D6C">
      <w:pPr>
        <w:shd w:val="clear" w:color="auto" w:fill="FFFFFF"/>
        <w:rPr>
          <w:color w:val="222222"/>
          <w:szCs w:val="26"/>
        </w:rPr>
      </w:pPr>
      <w:r w:rsidRPr="00110D6C">
        <w:rPr>
          <w:color w:val="222222"/>
          <w:szCs w:val="26"/>
        </w:rPr>
        <w:t xml:space="preserve">Bergstresser, D., &amp; Philippon, T. (2006). CEO incentives and earnings management. </w:t>
      </w:r>
      <w:r w:rsidRPr="00996351">
        <w:rPr>
          <w:rFonts w:cstheme="majorHAnsi"/>
          <w:i/>
          <w:szCs w:val="26"/>
        </w:rPr>
        <w:t>Journal of Financial Economics</w:t>
      </w:r>
      <w:r w:rsidRPr="00110D6C">
        <w:rPr>
          <w:color w:val="222222"/>
          <w:szCs w:val="26"/>
        </w:rPr>
        <w:t>,</w:t>
      </w:r>
      <w:r>
        <w:rPr>
          <w:color w:val="222222"/>
          <w:szCs w:val="26"/>
          <w:lang w:val="en-US"/>
        </w:rPr>
        <w:t xml:space="preserve"> </w:t>
      </w:r>
      <w:r w:rsidRPr="00110D6C">
        <w:rPr>
          <w:color w:val="222222"/>
          <w:szCs w:val="26"/>
        </w:rPr>
        <w:t>80(3), 511–529.</w:t>
      </w:r>
    </w:p>
    <w:p w14:paraId="5CCB0D49" w14:textId="77777777" w:rsidR="00A657C3" w:rsidRDefault="00A657C3" w:rsidP="00110D6C">
      <w:pPr>
        <w:shd w:val="clear" w:color="auto" w:fill="FFFFFF"/>
        <w:rPr>
          <w:color w:val="222222"/>
          <w:szCs w:val="26"/>
        </w:rPr>
      </w:pPr>
      <w:r w:rsidRPr="00110D6C">
        <w:rPr>
          <w:color w:val="222222"/>
          <w:szCs w:val="26"/>
        </w:rPr>
        <w:t xml:space="preserve">Burgstahler, D., &amp; Dichev, I. (1997). Earnings management to avoid earnings decreases and losses. </w:t>
      </w:r>
      <w:r w:rsidRPr="00996351">
        <w:rPr>
          <w:rFonts w:cstheme="majorHAnsi"/>
          <w:i/>
          <w:szCs w:val="26"/>
        </w:rPr>
        <w:t>Journal of Accounting and Economics</w:t>
      </w:r>
      <w:r w:rsidRPr="00110D6C">
        <w:rPr>
          <w:color w:val="222222"/>
          <w:szCs w:val="26"/>
        </w:rPr>
        <w:t>, 24(1), 99–126.</w:t>
      </w:r>
    </w:p>
    <w:p w14:paraId="74C98288" w14:textId="77777777" w:rsidR="00A657C3" w:rsidRDefault="00A657C3" w:rsidP="00CB3AB9">
      <w:pPr>
        <w:shd w:val="clear" w:color="auto" w:fill="FFFFFF"/>
        <w:rPr>
          <w:color w:val="222222"/>
          <w:szCs w:val="26"/>
        </w:rPr>
      </w:pPr>
      <w:r w:rsidRPr="00C74CEB">
        <w:rPr>
          <w:color w:val="222222"/>
          <w:szCs w:val="26"/>
        </w:rPr>
        <w:t xml:space="preserve">Charitou, A., Lambertides, N., &amp; Trigeorgis, L. (2007a). Earnings behaviour of financially distressed firms: The role of institutional ownership. </w:t>
      </w:r>
      <w:r w:rsidRPr="00996351">
        <w:rPr>
          <w:rFonts w:cstheme="majorHAnsi"/>
          <w:i/>
          <w:szCs w:val="26"/>
        </w:rPr>
        <w:t>Abacus</w:t>
      </w:r>
      <w:r w:rsidRPr="00C74CEB">
        <w:rPr>
          <w:color w:val="222222"/>
          <w:szCs w:val="26"/>
        </w:rPr>
        <w:t>, 43(3), 271–296.</w:t>
      </w:r>
    </w:p>
    <w:p w14:paraId="71A19383" w14:textId="77777777" w:rsidR="00A657C3" w:rsidRDefault="00A657C3" w:rsidP="00210FF3">
      <w:pPr>
        <w:shd w:val="clear" w:color="auto" w:fill="FFFFFF"/>
        <w:rPr>
          <w:color w:val="222222"/>
          <w:szCs w:val="26"/>
        </w:rPr>
      </w:pPr>
      <w:r w:rsidRPr="00241803">
        <w:rPr>
          <w:color w:val="222222"/>
          <w:szCs w:val="26"/>
        </w:rPr>
        <w:t xml:space="preserve">Chen, Y., Chen, C., &amp; Huang, S. (2010). An appraisal of financially distressed companies’ earnings management: Evidence from listed companies in China. </w:t>
      </w:r>
      <w:r w:rsidRPr="00996351">
        <w:rPr>
          <w:rFonts w:cstheme="majorHAnsi"/>
          <w:i/>
          <w:szCs w:val="26"/>
        </w:rPr>
        <w:t>Pacific Accounting Review</w:t>
      </w:r>
      <w:r w:rsidRPr="00241803">
        <w:rPr>
          <w:color w:val="222222"/>
          <w:szCs w:val="26"/>
        </w:rPr>
        <w:t>, 22(1), 22–41</w:t>
      </w:r>
    </w:p>
    <w:p w14:paraId="5EA50F62" w14:textId="77777777" w:rsidR="00A657C3" w:rsidRDefault="00A657C3" w:rsidP="00A252AF">
      <w:pPr>
        <w:widowControl w:val="0"/>
        <w:autoSpaceDE w:val="0"/>
        <w:autoSpaceDN w:val="0"/>
        <w:adjustRightInd w:val="0"/>
        <w:spacing w:after="0" w:line="360" w:lineRule="auto"/>
        <w:rPr>
          <w:color w:val="222222"/>
          <w:szCs w:val="26"/>
        </w:rPr>
      </w:pPr>
      <w:r w:rsidRPr="00A252AF">
        <w:rPr>
          <w:color w:val="222222"/>
          <w:szCs w:val="26"/>
        </w:rPr>
        <w:t>Dechow, P., &amp; Dichev, I. (2002). The Quality of Acc</w:t>
      </w:r>
      <w:r>
        <w:rPr>
          <w:color w:val="222222"/>
          <w:szCs w:val="26"/>
        </w:rPr>
        <w:t>ruals and Earnings: The Role of</w:t>
      </w:r>
      <w:r>
        <w:rPr>
          <w:color w:val="222222"/>
          <w:szCs w:val="26"/>
          <w:lang w:val="en-US"/>
        </w:rPr>
        <w:t xml:space="preserve"> </w:t>
      </w:r>
      <w:r w:rsidRPr="00A252AF">
        <w:rPr>
          <w:color w:val="222222"/>
          <w:szCs w:val="26"/>
        </w:rPr>
        <w:t xml:space="preserve">Accrual Estimation Errors. </w:t>
      </w:r>
      <w:r w:rsidRPr="00996351">
        <w:rPr>
          <w:rFonts w:cstheme="majorHAnsi"/>
          <w:i/>
          <w:szCs w:val="26"/>
        </w:rPr>
        <w:t>The Accounting Review</w:t>
      </w:r>
      <w:r w:rsidRPr="00A252AF">
        <w:rPr>
          <w:color w:val="222222"/>
          <w:szCs w:val="26"/>
        </w:rPr>
        <w:t>, 77, 35-59.</w:t>
      </w:r>
    </w:p>
    <w:p w14:paraId="7D4C1A1C" w14:textId="77777777" w:rsidR="00A657C3" w:rsidRPr="00110D6C" w:rsidRDefault="00A657C3" w:rsidP="00110D6C">
      <w:pPr>
        <w:shd w:val="clear" w:color="auto" w:fill="FFFFFF"/>
        <w:rPr>
          <w:color w:val="222222"/>
          <w:szCs w:val="26"/>
        </w:rPr>
      </w:pPr>
      <w:r w:rsidRPr="00110D6C">
        <w:rPr>
          <w:color w:val="222222"/>
          <w:szCs w:val="26"/>
        </w:rPr>
        <w:t xml:space="preserve">DeFond, M., &amp; Jiambalvo, J. (1994). Debt covenant violation and manipulation of accruals. </w:t>
      </w:r>
      <w:r w:rsidRPr="00996351">
        <w:rPr>
          <w:rFonts w:cstheme="majorHAnsi"/>
          <w:i/>
          <w:szCs w:val="26"/>
        </w:rPr>
        <w:t>Journal of Accounting and Economics</w:t>
      </w:r>
      <w:r w:rsidRPr="00110D6C">
        <w:rPr>
          <w:color w:val="222222"/>
          <w:szCs w:val="26"/>
        </w:rPr>
        <w:t>, 17(1), 145–176.</w:t>
      </w:r>
    </w:p>
    <w:p w14:paraId="6B929982" w14:textId="77777777" w:rsidR="00A657C3" w:rsidRDefault="00A657C3" w:rsidP="00110D6C">
      <w:pPr>
        <w:shd w:val="clear" w:color="auto" w:fill="FFFFFF"/>
        <w:rPr>
          <w:color w:val="222222"/>
          <w:szCs w:val="26"/>
        </w:rPr>
      </w:pPr>
      <w:r w:rsidRPr="00110D6C">
        <w:rPr>
          <w:color w:val="222222"/>
          <w:szCs w:val="26"/>
        </w:rPr>
        <w:t xml:space="preserve">DeFond, M.L., &amp; Park, C.W. (1997). Smoothing income in anticipation of future earnings. </w:t>
      </w:r>
      <w:r w:rsidRPr="00996351">
        <w:rPr>
          <w:rFonts w:cstheme="majorHAnsi"/>
          <w:i/>
          <w:szCs w:val="26"/>
        </w:rPr>
        <w:t>Journal of Accounting and Economics</w:t>
      </w:r>
      <w:r w:rsidRPr="00110D6C">
        <w:rPr>
          <w:color w:val="222222"/>
          <w:szCs w:val="26"/>
        </w:rPr>
        <w:t>, 23(2), 115–139.</w:t>
      </w:r>
    </w:p>
    <w:p w14:paraId="7217FB72" w14:textId="77777777" w:rsidR="00A657C3" w:rsidRDefault="00A657C3" w:rsidP="00C74CEB">
      <w:pPr>
        <w:shd w:val="clear" w:color="auto" w:fill="FFFFFF"/>
        <w:rPr>
          <w:color w:val="222222"/>
          <w:szCs w:val="26"/>
          <w:lang w:val="en-US"/>
        </w:rPr>
      </w:pPr>
      <w:r w:rsidRPr="00C74CEB">
        <w:rPr>
          <w:color w:val="222222"/>
          <w:szCs w:val="26"/>
        </w:rPr>
        <w:t xml:space="preserve">Dichev, I., &amp; Skinner, D. (2004). Large sample evidence on the debt covenant hypothesis. </w:t>
      </w:r>
      <w:r w:rsidRPr="00996351">
        <w:rPr>
          <w:rFonts w:cstheme="majorHAnsi"/>
          <w:i/>
          <w:szCs w:val="26"/>
        </w:rPr>
        <w:t>Journal of Accounting Research</w:t>
      </w:r>
      <w:r w:rsidRPr="00C74CEB">
        <w:rPr>
          <w:color w:val="222222"/>
          <w:szCs w:val="26"/>
        </w:rPr>
        <w:t>, 40(4), 1091–1123.</w:t>
      </w:r>
    </w:p>
    <w:p w14:paraId="1D1641EC" w14:textId="77777777" w:rsidR="00A657C3" w:rsidRPr="00C10C91" w:rsidRDefault="00A657C3" w:rsidP="00134DA0">
      <w:pPr>
        <w:spacing w:after="0" w:line="360" w:lineRule="auto"/>
        <w:rPr>
          <w:rFonts w:cstheme="majorHAnsi"/>
          <w:szCs w:val="26"/>
          <w:lang w:val="en-US"/>
        </w:rPr>
      </w:pPr>
      <w:r>
        <w:rPr>
          <w:rFonts w:cstheme="majorHAnsi"/>
          <w:szCs w:val="26"/>
          <w:lang w:val="en-US"/>
        </w:rPr>
        <w:t xml:space="preserve">Đinh Thị Thu T., Nguyễn Vĩnh K. (2016). </w:t>
      </w:r>
      <w:r w:rsidRPr="00D53F03">
        <w:rPr>
          <w:rFonts w:cstheme="majorHAnsi"/>
          <w:szCs w:val="26"/>
          <w:lang w:val="en-US"/>
        </w:rPr>
        <w:t>Tác động của hành vi điều chỉnh thu nhập đến khả năng hoạt động liên tục trong kế toán: Nghiên cứu thực nghiệm cho các doanh nghiệp niêm yết tại Việt Nam</w:t>
      </w:r>
      <w:r>
        <w:rPr>
          <w:rFonts w:cstheme="majorHAnsi"/>
          <w:szCs w:val="26"/>
          <w:lang w:val="en-US"/>
        </w:rPr>
        <w:t xml:space="preserve">, </w:t>
      </w:r>
      <w:r w:rsidRPr="00996351">
        <w:rPr>
          <w:rFonts w:cstheme="majorHAnsi"/>
          <w:i/>
          <w:szCs w:val="26"/>
        </w:rPr>
        <w:t>Tạp chí phát triển khoa học và công nghệ</w:t>
      </w:r>
      <w:r>
        <w:rPr>
          <w:rFonts w:cstheme="majorHAnsi"/>
          <w:szCs w:val="26"/>
          <w:lang w:val="en-US"/>
        </w:rPr>
        <w:t>, Quí 3, tr.96-108.</w:t>
      </w:r>
    </w:p>
    <w:p w14:paraId="79EBB7CC" w14:textId="77777777" w:rsidR="00A657C3" w:rsidRDefault="00A657C3" w:rsidP="00903CD8">
      <w:pPr>
        <w:spacing w:after="0" w:line="360" w:lineRule="auto"/>
        <w:rPr>
          <w:rFonts w:cstheme="majorHAnsi"/>
          <w:szCs w:val="26"/>
          <w:lang w:val="en-US"/>
        </w:rPr>
      </w:pPr>
      <w:r w:rsidRPr="00D5642E">
        <w:rPr>
          <w:rFonts w:cstheme="majorHAnsi"/>
          <w:szCs w:val="26"/>
          <w:lang w:val="en-US"/>
        </w:rPr>
        <w:t>Đỗ Thị Vân Trang</w:t>
      </w:r>
      <w:r w:rsidRPr="007F6635">
        <w:rPr>
          <w:rFonts w:cstheme="majorHAnsi"/>
          <w:szCs w:val="26"/>
          <w:lang w:val="en-US"/>
        </w:rPr>
        <w:t xml:space="preserve"> (20</w:t>
      </w:r>
      <w:r>
        <w:rPr>
          <w:rFonts w:cstheme="majorHAnsi"/>
          <w:szCs w:val="26"/>
          <w:lang w:val="en-US"/>
        </w:rPr>
        <w:t xml:space="preserve">15). Các mô hình đánh giá chất lượng báo cáo tài chính, </w:t>
      </w:r>
      <w:r w:rsidRPr="00996351">
        <w:rPr>
          <w:rFonts w:cstheme="majorHAnsi"/>
          <w:i/>
          <w:szCs w:val="26"/>
        </w:rPr>
        <w:t>Tạp chí chứng khoán Việt Nam</w:t>
      </w:r>
      <w:r>
        <w:rPr>
          <w:rFonts w:cstheme="majorHAnsi"/>
          <w:szCs w:val="26"/>
          <w:lang w:val="en-US"/>
        </w:rPr>
        <w:t>, 200, tr 18-21.</w:t>
      </w:r>
    </w:p>
    <w:p w14:paraId="62F70EBC" w14:textId="77777777" w:rsidR="00A657C3" w:rsidRDefault="00A657C3" w:rsidP="00210FF3">
      <w:pPr>
        <w:shd w:val="clear" w:color="auto" w:fill="FFFFFF"/>
        <w:rPr>
          <w:color w:val="222222"/>
          <w:szCs w:val="26"/>
        </w:rPr>
      </w:pPr>
      <w:r w:rsidRPr="00ED029E">
        <w:rPr>
          <w:color w:val="222222"/>
          <w:szCs w:val="26"/>
        </w:rPr>
        <w:t xml:space="preserve">Habib, A., Uddin Bhuiyan, B., &amp; Islam, A. (2013). Financial distress, earnings management and market pricing of accruals during the global financial crisis. </w:t>
      </w:r>
      <w:r w:rsidRPr="00996351">
        <w:rPr>
          <w:rFonts w:cstheme="majorHAnsi"/>
          <w:i/>
          <w:szCs w:val="26"/>
        </w:rPr>
        <w:t>Managerial Finance</w:t>
      </w:r>
      <w:r w:rsidRPr="00ED029E">
        <w:rPr>
          <w:color w:val="222222"/>
          <w:szCs w:val="26"/>
        </w:rPr>
        <w:t>, 39(2), 155-180.</w:t>
      </w:r>
    </w:p>
    <w:p w14:paraId="3AFD256D" w14:textId="77777777" w:rsidR="00A657C3" w:rsidRDefault="00A657C3" w:rsidP="00BA11FB">
      <w:pPr>
        <w:widowControl w:val="0"/>
        <w:autoSpaceDE w:val="0"/>
        <w:autoSpaceDN w:val="0"/>
        <w:adjustRightInd w:val="0"/>
        <w:spacing w:after="0" w:line="360" w:lineRule="auto"/>
        <w:rPr>
          <w:color w:val="222222"/>
          <w:szCs w:val="26"/>
        </w:rPr>
      </w:pPr>
      <w:r w:rsidRPr="00BA11FB">
        <w:rPr>
          <w:color w:val="222222"/>
          <w:szCs w:val="26"/>
        </w:rPr>
        <w:t>Jaggi, B., &amp; Lee, P. (2002). Earnings management response to debt covenant violations and debt restructuring.</w:t>
      </w:r>
      <w:r>
        <w:rPr>
          <w:color w:val="222222"/>
          <w:szCs w:val="26"/>
          <w:lang w:val="en-US"/>
        </w:rPr>
        <w:t xml:space="preserve"> </w:t>
      </w:r>
      <w:r w:rsidRPr="00996351">
        <w:rPr>
          <w:rFonts w:cstheme="majorHAnsi"/>
          <w:i/>
          <w:szCs w:val="26"/>
        </w:rPr>
        <w:t>Journal of Accounting, Auditing &amp; Finance</w:t>
      </w:r>
      <w:r w:rsidRPr="00BA11FB">
        <w:rPr>
          <w:color w:val="222222"/>
          <w:szCs w:val="26"/>
        </w:rPr>
        <w:t>, 17(4), 295–324.</w:t>
      </w:r>
    </w:p>
    <w:p w14:paraId="1C91AC5A" w14:textId="77777777" w:rsidR="00A657C3" w:rsidRDefault="00A657C3" w:rsidP="00EB273E">
      <w:pPr>
        <w:widowControl w:val="0"/>
        <w:autoSpaceDE w:val="0"/>
        <w:autoSpaceDN w:val="0"/>
        <w:adjustRightInd w:val="0"/>
        <w:spacing w:after="0" w:line="360" w:lineRule="auto"/>
        <w:rPr>
          <w:color w:val="222222"/>
          <w:szCs w:val="26"/>
        </w:rPr>
      </w:pPr>
      <w:r w:rsidRPr="00EB273E">
        <w:rPr>
          <w:color w:val="222222"/>
          <w:szCs w:val="26"/>
        </w:rPr>
        <w:t xml:space="preserve">Lu, J. (1999). </w:t>
      </w:r>
      <w:r w:rsidRPr="00996351">
        <w:rPr>
          <w:rFonts w:cstheme="majorHAnsi"/>
          <w:i/>
          <w:szCs w:val="26"/>
        </w:rPr>
        <w:t xml:space="preserve">An empirical study of earnings management by loss-making listed Chinese </w:t>
      </w:r>
      <w:r w:rsidRPr="00996351">
        <w:rPr>
          <w:rFonts w:cstheme="majorHAnsi"/>
          <w:i/>
          <w:szCs w:val="26"/>
        </w:rPr>
        <w:lastRenderedPageBreak/>
        <w:t>companies</w:t>
      </w:r>
      <w:r w:rsidRPr="00EB273E">
        <w:rPr>
          <w:color w:val="222222"/>
          <w:szCs w:val="26"/>
        </w:rPr>
        <w:t>. KuaijiYanjiu</w:t>
      </w:r>
      <w:r>
        <w:rPr>
          <w:color w:val="222222"/>
          <w:szCs w:val="26"/>
          <w:lang w:val="en-US"/>
        </w:rPr>
        <w:t xml:space="preserve"> </w:t>
      </w:r>
      <w:r w:rsidRPr="00EB273E">
        <w:rPr>
          <w:color w:val="222222"/>
          <w:szCs w:val="26"/>
        </w:rPr>
        <w:t>(Accounting Research), (9), 25–35.</w:t>
      </w:r>
    </w:p>
    <w:p w14:paraId="1B8DC5CD" w14:textId="77777777" w:rsidR="00A657C3" w:rsidRDefault="00A657C3" w:rsidP="00EB273E">
      <w:pPr>
        <w:widowControl w:val="0"/>
        <w:autoSpaceDE w:val="0"/>
        <w:autoSpaceDN w:val="0"/>
        <w:adjustRightInd w:val="0"/>
        <w:spacing w:after="0" w:line="360" w:lineRule="auto"/>
        <w:rPr>
          <w:color w:val="222222"/>
          <w:szCs w:val="26"/>
        </w:rPr>
      </w:pPr>
      <w:r w:rsidRPr="002F3D4C">
        <w:rPr>
          <w:color w:val="222222"/>
          <w:szCs w:val="26"/>
        </w:rPr>
        <w:t xml:space="preserve">Selahudin, N.F., Zakaria, N.B., &amp; Sanusi, Z.M. (2014). Remodelling the earnings management with the appear- ance of leverage, financial distress and free cash flow: Malaysia and Thailand evidences. </w:t>
      </w:r>
      <w:r w:rsidRPr="00996351">
        <w:rPr>
          <w:rFonts w:cstheme="majorHAnsi"/>
          <w:i/>
          <w:szCs w:val="26"/>
        </w:rPr>
        <w:t>Journal of Applied Sciences</w:t>
      </w:r>
      <w:r w:rsidRPr="002F3D4C">
        <w:rPr>
          <w:color w:val="222222"/>
          <w:szCs w:val="26"/>
        </w:rPr>
        <w:t>, 14(21), 2644–2661.</w:t>
      </w:r>
    </w:p>
    <w:p w14:paraId="28E9F96E" w14:textId="77777777" w:rsidR="00A657C3" w:rsidRDefault="00A657C3" w:rsidP="00CB3AB9">
      <w:pPr>
        <w:shd w:val="clear" w:color="auto" w:fill="FFFFFF"/>
        <w:rPr>
          <w:color w:val="222222"/>
          <w:szCs w:val="26"/>
        </w:rPr>
      </w:pPr>
      <w:r w:rsidRPr="00CB3AB9">
        <w:rPr>
          <w:color w:val="222222"/>
          <w:szCs w:val="26"/>
        </w:rPr>
        <w:t xml:space="preserve">Skinner, D.J., &amp; Sloan, R. (2002). Earnings surprises, growth expectations, and stock returns or don’t let an earnings torpedo sink your portfolio. </w:t>
      </w:r>
      <w:r w:rsidRPr="00996351">
        <w:rPr>
          <w:rFonts w:cstheme="majorHAnsi"/>
          <w:i/>
          <w:szCs w:val="26"/>
        </w:rPr>
        <w:t>Review of Accounting Studies</w:t>
      </w:r>
      <w:r w:rsidRPr="00CB3AB9">
        <w:rPr>
          <w:color w:val="222222"/>
          <w:szCs w:val="26"/>
        </w:rPr>
        <w:t>, 7(2/3), 289–312.</w:t>
      </w:r>
    </w:p>
    <w:p w14:paraId="3312AE07" w14:textId="77777777" w:rsidR="00A657C3" w:rsidRPr="00436B74" w:rsidRDefault="00A657C3" w:rsidP="00436B74">
      <w:pPr>
        <w:widowControl w:val="0"/>
        <w:autoSpaceDE w:val="0"/>
        <w:autoSpaceDN w:val="0"/>
        <w:adjustRightInd w:val="0"/>
        <w:spacing w:after="0" w:line="360" w:lineRule="auto"/>
        <w:rPr>
          <w:color w:val="222222"/>
          <w:szCs w:val="26"/>
        </w:rPr>
      </w:pPr>
      <w:r w:rsidRPr="00436B74">
        <w:rPr>
          <w:color w:val="222222"/>
          <w:szCs w:val="26"/>
        </w:rPr>
        <w:t xml:space="preserve">Sweeney, A.P., (1994). Debt-covenant violations and managers' accounting responses. </w:t>
      </w:r>
      <w:r w:rsidRPr="00996351">
        <w:rPr>
          <w:rFonts w:cstheme="majorHAnsi"/>
          <w:i/>
          <w:szCs w:val="26"/>
        </w:rPr>
        <w:t>Journal of Accounting &amp; Economics</w:t>
      </w:r>
      <w:r w:rsidRPr="00436B74">
        <w:rPr>
          <w:color w:val="222222"/>
          <w:szCs w:val="26"/>
        </w:rPr>
        <w:t>, 17(3): 281-308.</w:t>
      </w:r>
    </w:p>
    <w:p w14:paraId="6EAB1DCE" w14:textId="77777777" w:rsidR="00A657C3" w:rsidRDefault="00A657C3" w:rsidP="00436B74">
      <w:pPr>
        <w:spacing w:after="0" w:line="360" w:lineRule="auto"/>
        <w:rPr>
          <w:rFonts w:cstheme="majorHAnsi"/>
          <w:szCs w:val="26"/>
          <w:lang w:val="en-US"/>
        </w:rPr>
      </w:pPr>
      <w:r w:rsidRPr="00351473">
        <w:rPr>
          <w:rFonts w:cstheme="majorHAnsi"/>
          <w:szCs w:val="26"/>
          <w:lang w:val="en-US"/>
        </w:rPr>
        <w:t>Trần Thị Thùy Linh, Mai Hoàng Hạnh</w:t>
      </w:r>
      <w:r>
        <w:rPr>
          <w:rFonts w:cstheme="majorHAnsi"/>
          <w:szCs w:val="26"/>
          <w:lang w:val="en-US"/>
        </w:rPr>
        <w:t xml:space="preserve"> (2015). Chất lượng báo cáo tài chính và kỳ hạn nợ ảnh hưởng đến hiệu quả hoạt động của doanh nghiệp Việt Nam, </w:t>
      </w:r>
      <w:r w:rsidRPr="00996351">
        <w:rPr>
          <w:rFonts w:cstheme="majorHAnsi"/>
          <w:i/>
          <w:szCs w:val="26"/>
        </w:rPr>
        <w:t>Tạp chí phát triển kinh tế</w:t>
      </w:r>
      <w:r>
        <w:rPr>
          <w:rFonts w:cstheme="majorHAnsi"/>
          <w:szCs w:val="26"/>
          <w:lang w:val="en-US"/>
        </w:rPr>
        <w:t>, 10, tr.27-50.</w:t>
      </w:r>
    </w:p>
    <w:p w14:paraId="35A34AD1" w14:textId="77777777" w:rsidR="00A657C3" w:rsidRPr="007F6635" w:rsidRDefault="00A657C3" w:rsidP="00436B74">
      <w:pPr>
        <w:spacing w:after="0" w:line="360" w:lineRule="auto"/>
        <w:rPr>
          <w:rFonts w:cstheme="majorHAnsi"/>
          <w:szCs w:val="26"/>
          <w:lang w:val="en-US"/>
        </w:rPr>
      </w:pPr>
      <w:r w:rsidRPr="0055558E">
        <w:rPr>
          <w:rFonts w:cstheme="majorHAnsi"/>
          <w:szCs w:val="26"/>
          <w:lang w:val="en-US"/>
        </w:rPr>
        <w:t>Trương Thị Thùy Dương</w:t>
      </w:r>
      <w:r>
        <w:rPr>
          <w:rFonts w:cstheme="majorHAnsi"/>
          <w:szCs w:val="26"/>
          <w:lang w:val="en-US"/>
        </w:rPr>
        <w:t xml:space="preserve"> (2017). Nâng cao chất lượng báo cáo tài chính công ty đại chúng, </w:t>
      </w:r>
      <w:r w:rsidRPr="00996351">
        <w:rPr>
          <w:rFonts w:cstheme="majorHAnsi"/>
          <w:i/>
          <w:szCs w:val="26"/>
        </w:rPr>
        <w:t>Tạp chí tài chính</w:t>
      </w:r>
      <w:r>
        <w:rPr>
          <w:rFonts w:cstheme="majorHAnsi"/>
          <w:szCs w:val="26"/>
          <w:lang w:val="en-US"/>
        </w:rPr>
        <w:t>, 1(3), tr.55-56.</w:t>
      </w:r>
    </w:p>
    <w:p w14:paraId="547A0BD1" w14:textId="77777777" w:rsidR="00A657C3" w:rsidRDefault="00A657C3" w:rsidP="00436B74">
      <w:pPr>
        <w:widowControl w:val="0"/>
        <w:autoSpaceDE w:val="0"/>
        <w:autoSpaceDN w:val="0"/>
        <w:adjustRightInd w:val="0"/>
        <w:spacing w:after="0" w:line="360" w:lineRule="auto"/>
        <w:rPr>
          <w:color w:val="222222"/>
          <w:szCs w:val="26"/>
        </w:rPr>
      </w:pPr>
      <w:r w:rsidRPr="00436B74">
        <w:rPr>
          <w:color w:val="222222"/>
          <w:szCs w:val="26"/>
        </w:rPr>
        <w:t xml:space="preserve">Uwuigbe, Ranti, Bernard, (2015). Assessment of the effects of firm’s characteristics on earnings management of listed firms in Nigeria, </w:t>
      </w:r>
      <w:bookmarkStart w:id="1" w:name="_GoBack"/>
      <w:r w:rsidRPr="00996351">
        <w:rPr>
          <w:rFonts w:cstheme="majorHAnsi"/>
          <w:i/>
          <w:szCs w:val="26"/>
        </w:rPr>
        <w:t>Asian Economic and Financial Review</w:t>
      </w:r>
      <w:bookmarkEnd w:id="1"/>
      <w:r w:rsidRPr="00436B74">
        <w:rPr>
          <w:color w:val="222222"/>
          <w:szCs w:val="26"/>
        </w:rPr>
        <w:t>,5(2):218-228.</w:t>
      </w:r>
    </w:p>
    <w:p w14:paraId="1522E3E0" w14:textId="77777777" w:rsidR="00361353" w:rsidRPr="00361353" w:rsidRDefault="00361353" w:rsidP="00361353">
      <w:pPr>
        <w:widowControl w:val="0"/>
        <w:tabs>
          <w:tab w:val="left" w:pos="8820"/>
        </w:tabs>
        <w:autoSpaceDE w:val="0"/>
        <w:autoSpaceDN w:val="0"/>
        <w:adjustRightInd w:val="0"/>
        <w:spacing w:after="0" w:line="360" w:lineRule="auto"/>
        <w:ind w:left="1080"/>
        <w:rPr>
          <w:rFonts w:cstheme="majorHAnsi"/>
          <w:szCs w:val="26"/>
        </w:rPr>
      </w:pPr>
    </w:p>
    <w:p w14:paraId="768CC2BE" w14:textId="77777777" w:rsidR="00AD39DA" w:rsidRPr="00361353" w:rsidRDefault="00AD39DA" w:rsidP="00361353">
      <w:pPr>
        <w:widowControl w:val="0"/>
        <w:tabs>
          <w:tab w:val="left" w:pos="284"/>
        </w:tabs>
        <w:autoSpaceDE w:val="0"/>
        <w:autoSpaceDN w:val="0"/>
        <w:adjustRightInd w:val="0"/>
        <w:spacing w:after="0" w:line="360" w:lineRule="auto"/>
        <w:rPr>
          <w:rFonts w:cstheme="majorHAnsi"/>
          <w:szCs w:val="26"/>
        </w:rPr>
      </w:pPr>
    </w:p>
    <w:sectPr w:rsidR="00AD39DA" w:rsidRPr="00361353" w:rsidSect="0095335F">
      <w:footerReference w:type="default" r:id="rId8"/>
      <w:pgSz w:w="11906" w:h="16838"/>
      <w:pgMar w:top="1134" w:right="1106" w:bottom="1134" w:left="1418"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4684" w14:textId="77777777" w:rsidR="001D46F2" w:rsidRDefault="001D46F2" w:rsidP="00C10C65">
      <w:pPr>
        <w:spacing w:after="0" w:line="240" w:lineRule="auto"/>
      </w:pPr>
      <w:r>
        <w:separator/>
      </w:r>
    </w:p>
  </w:endnote>
  <w:endnote w:type="continuationSeparator" w:id="0">
    <w:p w14:paraId="3BF0D7E7" w14:textId="77777777" w:rsidR="001D46F2" w:rsidRDefault="001D46F2" w:rsidP="00C1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 Francisco Text Regular">
    <w:panose1 w:val="00000000000000000000"/>
    <w:charset w:val="00"/>
    <w:family w:val="modern"/>
    <w:notTrueType/>
    <w:pitch w:val="variable"/>
    <w:sig w:usb0="A00000EF" w:usb1="5000204A" w:usb2="000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FF17" w14:textId="77777777" w:rsidR="008C0C3A" w:rsidRDefault="008C0C3A">
    <w:pPr>
      <w:pStyle w:val="Footer"/>
      <w:jc w:val="right"/>
    </w:pPr>
  </w:p>
  <w:p w14:paraId="3EFD0214" w14:textId="77777777" w:rsidR="008C0C3A" w:rsidRDefault="008C0C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97A3" w14:textId="77777777" w:rsidR="001D46F2" w:rsidRDefault="001D46F2" w:rsidP="00C10C65">
      <w:pPr>
        <w:spacing w:after="0" w:line="240" w:lineRule="auto"/>
      </w:pPr>
      <w:r>
        <w:separator/>
      </w:r>
    </w:p>
  </w:footnote>
  <w:footnote w:type="continuationSeparator" w:id="0">
    <w:p w14:paraId="48650FF0" w14:textId="77777777" w:rsidR="001D46F2" w:rsidRDefault="001D46F2" w:rsidP="00C10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72A"/>
    <w:multiLevelType w:val="multilevel"/>
    <w:tmpl w:val="ECA2B4D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85D06"/>
    <w:multiLevelType w:val="hybridMultilevel"/>
    <w:tmpl w:val="11182FE4"/>
    <w:lvl w:ilvl="0" w:tplc="3A10C19A">
      <w:start w:val="1"/>
      <w:numFmt w:val="lowerLetter"/>
      <w:lvlText w:val="%1."/>
      <w:lvlJc w:val="left"/>
      <w:pPr>
        <w:ind w:left="1440" w:hanging="360"/>
      </w:pPr>
      <w:rPr>
        <w:rFonts w:hint="default"/>
      </w:rPr>
    </w:lvl>
    <w:lvl w:ilvl="1" w:tplc="459A9EF4">
      <w:start w:val="1"/>
      <w:numFmt w:val="decimal"/>
      <w:lvlText w:val="[%2]."/>
      <w:lvlJc w:val="left"/>
      <w:pPr>
        <w:tabs>
          <w:tab w:val="num" w:pos="2160"/>
        </w:tabs>
        <w:ind w:left="2160" w:hanging="360"/>
      </w:pPr>
      <w:rPr>
        <w:rFonts w:hint="default"/>
        <w:b w:val="0"/>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A82274"/>
    <w:multiLevelType w:val="multilevel"/>
    <w:tmpl w:val="042A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A210F"/>
    <w:multiLevelType w:val="multilevel"/>
    <w:tmpl w:val="DD4C53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44726"/>
    <w:multiLevelType w:val="multilevel"/>
    <w:tmpl w:val="5B40181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1D1ACA"/>
    <w:multiLevelType w:val="hybridMultilevel"/>
    <w:tmpl w:val="DF1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32241"/>
    <w:multiLevelType w:val="multilevel"/>
    <w:tmpl w:val="8EDC0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91467C"/>
    <w:multiLevelType w:val="hybridMultilevel"/>
    <w:tmpl w:val="8494919E"/>
    <w:lvl w:ilvl="0" w:tplc="7AE06A8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30C4"/>
    <w:multiLevelType w:val="hybridMultilevel"/>
    <w:tmpl w:val="9BD234A4"/>
    <w:lvl w:ilvl="0" w:tplc="6C602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769F"/>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445E43"/>
    <w:multiLevelType w:val="hybridMultilevel"/>
    <w:tmpl w:val="FE3277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AF2E5B"/>
    <w:multiLevelType w:val="hybridMultilevel"/>
    <w:tmpl w:val="20F4A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045EA"/>
    <w:multiLevelType w:val="multilevel"/>
    <w:tmpl w:val="1BB8BC2E"/>
    <w:numStyleLink w:val="Style1"/>
  </w:abstractNum>
  <w:abstractNum w:abstractNumId="13" w15:restartNumberingAfterBreak="0">
    <w:nsid w:val="69AB0889"/>
    <w:multiLevelType w:val="hybridMultilevel"/>
    <w:tmpl w:val="E5C425A0"/>
    <w:lvl w:ilvl="0" w:tplc="B002C4B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E40B9"/>
    <w:multiLevelType w:val="hybridMultilevel"/>
    <w:tmpl w:val="067AE534"/>
    <w:lvl w:ilvl="0" w:tplc="915AAB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A0793"/>
    <w:multiLevelType w:val="multilevel"/>
    <w:tmpl w:val="1BB8BC2E"/>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7752BD"/>
    <w:multiLevelType w:val="hybridMultilevel"/>
    <w:tmpl w:val="A9B63F56"/>
    <w:lvl w:ilvl="0" w:tplc="11FC76C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1BC7F85"/>
    <w:multiLevelType w:val="hybridMultilevel"/>
    <w:tmpl w:val="C254C62C"/>
    <w:lvl w:ilvl="0" w:tplc="527CE14C">
      <w:start w:val="1"/>
      <w:numFmt w:val="bullet"/>
      <w:lvlText w:val="-"/>
      <w:lvlJc w:val="left"/>
      <w:pPr>
        <w:ind w:left="515" w:hanging="360"/>
      </w:pPr>
      <w:rPr>
        <w:rFonts w:ascii="Times New Roman" w:eastAsia="Times New Roman" w:hAnsi="Times New Roman" w:cs="Times New Roman" w:hint="default"/>
      </w:rPr>
    </w:lvl>
    <w:lvl w:ilvl="1" w:tplc="04090003">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8" w15:restartNumberingAfterBreak="0">
    <w:nsid w:val="75CA2068"/>
    <w:multiLevelType w:val="hybridMultilevel"/>
    <w:tmpl w:val="B75CCF4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8"/>
  </w:num>
  <w:num w:numId="5">
    <w:abstractNumId w:val="12"/>
  </w:num>
  <w:num w:numId="6">
    <w:abstractNumId w:val="0"/>
  </w:num>
  <w:num w:numId="7">
    <w:abstractNumId w:val="15"/>
  </w:num>
  <w:num w:numId="8">
    <w:abstractNumId w:val="10"/>
  </w:num>
  <w:num w:numId="9">
    <w:abstractNumId w:val="1"/>
  </w:num>
  <w:num w:numId="10">
    <w:abstractNumId w:val="8"/>
  </w:num>
  <w:num w:numId="11">
    <w:abstractNumId w:val="17"/>
  </w:num>
  <w:num w:numId="12">
    <w:abstractNumId w:val="14"/>
  </w:num>
  <w:num w:numId="13">
    <w:abstractNumId w:val="3"/>
  </w:num>
  <w:num w:numId="14">
    <w:abstractNumId w:val="7"/>
  </w:num>
  <w:num w:numId="15">
    <w:abstractNumId w:val="4"/>
  </w:num>
  <w:num w:numId="16">
    <w:abstractNumId w:val="5"/>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BB"/>
    <w:rsid w:val="00000508"/>
    <w:rsid w:val="00000B08"/>
    <w:rsid w:val="00001315"/>
    <w:rsid w:val="00002604"/>
    <w:rsid w:val="000033AA"/>
    <w:rsid w:val="00003565"/>
    <w:rsid w:val="00004B05"/>
    <w:rsid w:val="00004E40"/>
    <w:rsid w:val="00006276"/>
    <w:rsid w:val="0000627B"/>
    <w:rsid w:val="00012769"/>
    <w:rsid w:val="00013EFE"/>
    <w:rsid w:val="00014AE8"/>
    <w:rsid w:val="00016BF7"/>
    <w:rsid w:val="0002140F"/>
    <w:rsid w:val="00023756"/>
    <w:rsid w:val="00026AB4"/>
    <w:rsid w:val="00026F07"/>
    <w:rsid w:val="000324E5"/>
    <w:rsid w:val="00034F31"/>
    <w:rsid w:val="000359D9"/>
    <w:rsid w:val="000366BF"/>
    <w:rsid w:val="00036C43"/>
    <w:rsid w:val="00040E07"/>
    <w:rsid w:val="0004225B"/>
    <w:rsid w:val="00044265"/>
    <w:rsid w:val="0004495E"/>
    <w:rsid w:val="00046CC1"/>
    <w:rsid w:val="0004724D"/>
    <w:rsid w:val="000506AA"/>
    <w:rsid w:val="00053341"/>
    <w:rsid w:val="00054767"/>
    <w:rsid w:val="00054BCE"/>
    <w:rsid w:val="00056341"/>
    <w:rsid w:val="00060743"/>
    <w:rsid w:val="00063F7D"/>
    <w:rsid w:val="00064C63"/>
    <w:rsid w:val="00067DD8"/>
    <w:rsid w:val="00070298"/>
    <w:rsid w:val="000711E7"/>
    <w:rsid w:val="00071820"/>
    <w:rsid w:val="00073719"/>
    <w:rsid w:val="00075016"/>
    <w:rsid w:val="00075587"/>
    <w:rsid w:val="000763AF"/>
    <w:rsid w:val="000831B8"/>
    <w:rsid w:val="00093922"/>
    <w:rsid w:val="0009503E"/>
    <w:rsid w:val="00097304"/>
    <w:rsid w:val="000B3F4F"/>
    <w:rsid w:val="000B40EA"/>
    <w:rsid w:val="000B61F3"/>
    <w:rsid w:val="000B7224"/>
    <w:rsid w:val="000B7675"/>
    <w:rsid w:val="000B7F95"/>
    <w:rsid w:val="000C5D30"/>
    <w:rsid w:val="000D0E1D"/>
    <w:rsid w:val="000D1238"/>
    <w:rsid w:val="000D349D"/>
    <w:rsid w:val="000D4A8B"/>
    <w:rsid w:val="000D7531"/>
    <w:rsid w:val="000E00BB"/>
    <w:rsid w:val="000E28CF"/>
    <w:rsid w:val="000E739A"/>
    <w:rsid w:val="000F0636"/>
    <w:rsid w:val="000F4869"/>
    <w:rsid w:val="000F7AD1"/>
    <w:rsid w:val="00103785"/>
    <w:rsid w:val="00106F6D"/>
    <w:rsid w:val="00107674"/>
    <w:rsid w:val="00107F9A"/>
    <w:rsid w:val="00110D6C"/>
    <w:rsid w:val="001119DF"/>
    <w:rsid w:val="001123C1"/>
    <w:rsid w:val="00114984"/>
    <w:rsid w:val="00115B1D"/>
    <w:rsid w:val="0012020A"/>
    <w:rsid w:val="001208F8"/>
    <w:rsid w:val="001214D4"/>
    <w:rsid w:val="00121C10"/>
    <w:rsid w:val="00123731"/>
    <w:rsid w:val="00124191"/>
    <w:rsid w:val="00126675"/>
    <w:rsid w:val="00132E7A"/>
    <w:rsid w:val="001348E3"/>
    <w:rsid w:val="00134DA0"/>
    <w:rsid w:val="001367CA"/>
    <w:rsid w:val="001444BE"/>
    <w:rsid w:val="001456C8"/>
    <w:rsid w:val="00150AC5"/>
    <w:rsid w:val="0015671D"/>
    <w:rsid w:val="00156BB6"/>
    <w:rsid w:val="001630CB"/>
    <w:rsid w:val="0017148D"/>
    <w:rsid w:val="00172E84"/>
    <w:rsid w:val="001739E2"/>
    <w:rsid w:val="00173FF0"/>
    <w:rsid w:val="0017713B"/>
    <w:rsid w:val="00180F79"/>
    <w:rsid w:val="001811F6"/>
    <w:rsid w:val="00181950"/>
    <w:rsid w:val="001835A9"/>
    <w:rsid w:val="00183680"/>
    <w:rsid w:val="00185398"/>
    <w:rsid w:val="00185BED"/>
    <w:rsid w:val="0018624A"/>
    <w:rsid w:val="00190593"/>
    <w:rsid w:val="0019642A"/>
    <w:rsid w:val="00197B5C"/>
    <w:rsid w:val="001A0FD2"/>
    <w:rsid w:val="001A4C2B"/>
    <w:rsid w:val="001A553F"/>
    <w:rsid w:val="001A6E5F"/>
    <w:rsid w:val="001B2A24"/>
    <w:rsid w:val="001B473D"/>
    <w:rsid w:val="001B4FD6"/>
    <w:rsid w:val="001B6094"/>
    <w:rsid w:val="001B758F"/>
    <w:rsid w:val="001C2733"/>
    <w:rsid w:val="001D17F7"/>
    <w:rsid w:val="001D18F7"/>
    <w:rsid w:val="001D46F2"/>
    <w:rsid w:val="001D64A0"/>
    <w:rsid w:val="001D7A73"/>
    <w:rsid w:val="001E546F"/>
    <w:rsid w:val="001F0302"/>
    <w:rsid w:val="001F1958"/>
    <w:rsid w:val="001F3F72"/>
    <w:rsid w:val="001F4770"/>
    <w:rsid w:val="001F48AA"/>
    <w:rsid w:val="001F535C"/>
    <w:rsid w:val="001F6632"/>
    <w:rsid w:val="00201F26"/>
    <w:rsid w:val="00202329"/>
    <w:rsid w:val="00202B79"/>
    <w:rsid w:val="00202FEA"/>
    <w:rsid w:val="00207A0E"/>
    <w:rsid w:val="00207C78"/>
    <w:rsid w:val="00210D32"/>
    <w:rsid w:val="00210FF3"/>
    <w:rsid w:val="00212D01"/>
    <w:rsid w:val="002132E2"/>
    <w:rsid w:val="00223BAB"/>
    <w:rsid w:val="002249A8"/>
    <w:rsid w:val="0022556B"/>
    <w:rsid w:val="00226707"/>
    <w:rsid w:val="002276C9"/>
    <w:rsid w:val="00241803"/>
    <w:rsid w:val="0024350F"/>
    <w:rsid w:val="0024532D"/>
    <w:rsid w:val="00247273"/>
    <w:rsid w:val="00254681"/>
    <w:rsid w:val="0025756F"/>
    <w:rsid w:val="00265685"/>
    <w:rsid w:val="0027026C"/>
    <w:rsid w:val="00272325"/>
    <w:rsid w:val="0027237C"/>
    <w:rsid w:val="002739E9"/>
    <w:rsid w:val="0028298E"/>
    <w:rsid w:val="00283275"/>
    <w:rsid w:val="00292776"/>
    <w:rsid w:val="002970FB"/>
    <w:rsid w:val="0029782F"/>
    <w:rsid w:val="002A0434"/>
    <w:rsid w:val="002A183F"/>
    <w:rsid w:val="002A5472"/>
    <w:rsid w:val="002A59BE"/>
    <w:rsid w:val="002A6476"/>
    <w:rsid w:val="002A72BD"/>
    <w:rsid w:val="002B013D"/>
    <w:rsid w:val="002B697E"/>
    <w:rsid w:val="002B7065"/>
    <w:rsid w:val="002C1930"/>
    <w:rsid w:val="002C2D27"/>
    <w:rsid w:val="002C3006"/>
    <w:rsid w:val="002C6160"/>
    <w:rsid w:val="002C66A1"/>
    <w:rsid w:val="002C689B"/>
    <w:rsid w:val="002D08C9"/>
    <w:rsid w:val="002D1B3E"/>
    <w:rsid w:val="002E2EDD"/>
    <w:rsid w:val="002E4704"/>
    <w:rsid w:val="002E7099"/>
    <w:rsid w:val="002F10C5"/>
    <w:rsid w:val="002F3101"/>
    <w:rsid w:val="002F3D4C"/>
    <w:rsid w:val="002F6C1B"/>
    <w:rsid w:val="00300EB9"/>
    <w:rsid w:val="00301C70"/>
    <w:rsid w:val="003021B3"/>
    <w:rsid w:val="0030334C"/>
    <w:rsid w:val="00304741"/>
    <w:rsid w:val="003134FA"/>
    <w:rsid w:val="0031454E"/>
    <w:rsid w:val="00315B07"/>
    <w:rsid w:val="003204A6"/>
    <w:rsid w:val="00332006"/>
    <w:rsid w:val="00334AE7"/>
    <w:rsid w:val="00340DCB"/>
    <w:rsid w:val="00341344"/>
    <w:rsid w:val="00341848"/>
    <w:rsid w:val="00350BBB"/>
    <w:rsid w:val="00351473"/>
    <w:rsid w:val="003543A8"/>
    <w:rsid w:val="003547E9"/>
    <w:rsid w:val="00354E99"/>
    <w:rsid w:val="00360993"/>
    <w:rsid w:val="00361353"/>
    <w:rsid w:val="00363222"/>
    <w:rsid w:val="00364061"/>
    <w:rsid w:val="00367D46"/>
    <w:rsid w:val="00370AC8"/>
    <w:rsid w:val="00371BAD"/>
    <w:rsid w:val="00371C82"/>
    <w:rsid w:val="0037649E"/>
    <w:rsid w:val="003814A0"/>
    <w:rsid w:val="00383404"/>
    <w:rsid w:val="00384078"/>
    <w:rsid w:val="003842B5"/>
    <w:rsid w:val="00384991"/>
    <w:rsid w:val="00384C6D"/>
    <w:rsid w:val="00384D7E"/>
    <w:rsid w:val="00385C2E"/>
    <w:rsid w:val="003867BC"/>
    <w:rsid w:val="00394BD9"/>
    <w:rsid w:val="00396575"/>
    <w:rsid w:val="003A3662"/>
    <w:rsid w:val="003B2B52"/>
    <w:rsid w:val="003B38C7"/>
    <w:rsid w:val="003B598E"/>
    <w:rsid w:val="003B6552"/>
    <w:rsid w:val="003B7072"/>
    <w:rsid w:val="003C02C6"/>
    <w:rsid w:val="003C4FBD"/>
    <w:rsid w:val="003C6969"/>
    <w:rsid w:val="003D020C"/>
    <w:rsid w:val="003D1741"/>
    <w:rsid w:val="003D5185"/>
    <w:rsid w:val="003E2FD0"/>
    <w:rsid w:val="003E4F46"/>
    <w:rsid w:val="003E5216"/>
    <w:rsid w:val="003E5219"/>
    <w:rsid w:val="003F0517"/>
    <w:rsid w:val="003F109D"/>
    <w:rsid w:val="003F2815"/>
    <w:rsid w:val="003F2B15"/>
    <w:rsid w:val="003F5F7F"/>
    <w:rsid w:val="003F6862"/>
    <w:rsid w:val="003F70EF"/>
    <w:rsid w:val="003F7CF8"/>
    <w:rsid w:val="004004B9"/>
    <w:rsid w:val="00402C5F"/>
    <w:rsid w:val="00403354"/>
    <w:rsid w:val="0040352D"/>
    <w:rsid w:val="00404504"/>
    <w:rsid w:val="00406A52"/>
    <w:rsid w:val="0040707F"/>
    <w:rsid w:val="00410669"/>
    <w:rsid w:val="00414BD9"/>
    <w:rsid w:val="00414BFE"/>
    <w:rsid w:val="004173BF"/>
    <w:rsid w:val="004200BA"/>
    <w:rsid w:val="0042091E"/>
    <w:rsid w:val="0042719F"/>
    <w:rsid w:val="0043611F"/>
    <w:rsid w:val="00436B74"/>
    <w:rsid w:val="004404FF"/>
    <w:rsid w:val="00441E9E"/>
    <w:rsid w:val="00442215"/>
    <w:rsid w:val="004426FE"/>
    <w:rsid w:val="00443072"/>
    <w:rsid w:val="0044382A"/>
    <w:rsid w:val="00447A8B"/>
    <w:rsid w:val="004502D5"/>
    <w:rsid w:val="004508D9"/>
    <w:rsid w:val="004525B0"/>
    <w:rsid w:val="00452775"/>
    <w:rsid w:val="00456A27"/>
    <w:rsid w:val="00462704"/>
    <w:rsid w:val="00465876"/>
    <w:rsid w:val="00465E3B"/>
    <w:rsid w:val="00472FC7"/>
    <w:rsid w:val="004742AC"/>
    <w:rsid w:val="004742AF"/>
    <w:rsid w:val="00475031"/>
    <w:rsid w:val="00476C50"/>
    <w:rsid w:val="00477CBD"/>
    <w:rsid w:val="00480044"/>
    <w:rsid w:val="00480D86"/>
    <w:rsid w:val="00481673"/>
    <w:rsid w:val="00481EB1"/>
    <w:rsid w:val="00483772"/>
    <w:rsid w:val="00483EBE"/>
    <w:rsid w:val="004850AC"/>
    <w:rsid w:val="004862D9"/>
    <w:rsid w:val="00497FDD"/>
    <w:rsid w:val="004A0BDB"/>
    <w:rsid w:val="004A0F3E"/>
    <w:rsid w:val="004A1D9D"/>
    <w:rsid w:val="004A1FD2"/>
    <w:rsid w:val="004B1635"/>
    <w:rsid w:val="004B21F5"/>
    <w:rsid w:val="004B3E2F"/>
    <w:rsid w:val="004B42BC"/>
    <w:rsid w:val="004B6BA4"/>
    <w:rsid w:val="004B7027"/>
    <w:rsid w:val="004C6BC6"/>
    <w:rsid w:val="004C6F06"/>
    <w:rsid w:val="004D142B"/>
    <w:rsid w:val="004E0BE5"/>
    <w:rsid w:val="004E12B1"/>
    <w:rsid w:val="004E7F57"/>
    <w:rsid w:val="004F025F"/>
    <w:rsid w:val="004F4604"/>
    <w:rsid w:val="004F4C41"/>
    <w:rsid w:val="004F5A3E"/>
    <w:rsid w:val="004F6986"/>
    <w:rsid w:val="004F7790"/>
    <w:rsid w:val="004F77BD"/>
    <w:rsid w:val="004F7ABA"/>
    <w:rsid w:val="00500550"/>
    <w:rsid w:val="00503D4F"/>
    <w:rsid w:val="00505129"/>
    <w:rsid w:val="005139CF"/>
    <w:rsid w:val="0051484C"/>
    <w:rsid w:val="005150B5"/>
    <w:rsid w:val="00517182"/>
    <w:rsid w:val="005311F5"/>
    <w:rsid w:val="00532394"/>
    <w:rsid w:val="005345EE"/>
    <w:rsid w:val="00535A0B"/>
    <w:rsid w:val="00544D15"/>
    <w:rsid w:val="005454EB"/>
    <w:rsid w:val="00545C97"/>
    <w:rsid w:val="005502D2"/>
    <w:rsid w:val="00550B80"/>
    <w:rsid w:val="0055558E"/>
    <w:rsid w:val="0055570F"/>
    <w:rsid w:val="00564375"/>
    <w:rsid w:val="00564E04"/>
    <w:rsid w:val="00566B93"/>
    <w:rsid w:val="00566F41"/>
    <w:rsid w:val="00571C96"/>
    <w:rsid w:val="00574FA6"/>
    <w:rsid w:val="0057563F"/>
    <w:rsid w:val="00575F93"/>
    <w:rsid w:val="0057720C"/>
    <w:rsid w:val="005811C6"/>
    <w:rsid w:val="00582152"/>
    <w:rsid w:val="005833E3"/>
    <w:rsid w:val="0058395A"/>
    <w:rsid w:val="0058485F"/>
    <w:rsid w:val="00587488"/>
    <w:rsid w:val="00590FDE"/>
    <w:rsid w:val="00591977"/>
    <w:rsid w:val="005A0604"/>
    <w:rsid w:val="005A354B"/>
    <w:rsid w:val="005A46AB"/>
    <w:rsid w:val="005A5C66"/>
    <w:rsid w:val="005A704F"/>
    <w:rsid w:val="005A7D62"/>
    <w:rsid w:val="005B5E0F"/>
    <w:rsid w:val="005C3CDE"/>
    <w:rsid w:val="005C3DC5"/>
    <w:rsid w:val="005C603A"/>
    <w:rsid w:val="005C782D"/>
    <w:rsid w:val="005D1C94"/>
    <w:rsid w:val="005D5A62"/>
    <w:rsid w:val="005D6727"/>
    <w:rsid w:val="005E0A22"/>
    <w:rsid w:val="005E26ED"/>
    <w:rsid w:val="005E4379"/>
    <w:rsid w:val="005E43C3"/>
    <w:rsid w:val="005E6612"/>
    <w:rsid w:val="005E740B"/>
    <w:rsid w:val="005E7A86"/>
    <w:rsid w:val="005F24C5"/>
    <w:rsid w:val="005F2596"/>
    <w:rsid w:val="005F6790"/>
    <w:rsid w:val="005F7AAE"/>
    <w:rsid w:val="006024AF"/>
    <w:rsid w:val="00602B02"/>
    <w:rsid w:val="006044F3"/>
    <w:rsid w:val="00607615"/>
    <w:rsid w:val="00610B1B"/>
    <w:rsid w:val="00612812"/>
    <w:rsid w:val="00614CA4"/>
    <w:rsid w:val="00615319"/>
    <w:rsid w:val="00617268"/>
    <w:rsid w:val="0061745F"/>
    <w:rsid w:val="00620715"/>
    <w:rsid w:val="00624CDF"/>
    <w:rsid w:val="00626051"/>
    <w:rsid w:val="006279A3"/>
    <w:rsid w:val="006279F4"/>
    <w:rsid w:val="0063006C"/>
    <w:rsid w:val="00630748"/>
    <w:rsid w:val="00633367"/>
    <w:rsid w:val="0064022C"/>
    <w:rsid w:val="0064089E"/>
    <w:rsid w:val="00644B19"/>
    <w:rsid w:val="00650B50"/>
    <w:rsid w:val="006541FC"/>
    <w:rsid w:val="00660462"/>
    <w:rsid w:val="0066066F"/>
    <w:rsid w:val="006623D8"/>
    <w:rsid w:val="006659CD"/>
    <w:rsid w:val="00666685"/>
    <w:rsid w:val="00670F2B"/>
    <w:rsid w:val="00671572"/>
    <w:rsid w:val="00672DDA"/>
    <w:rsid w:val="0067359E"/>
    <w:rsid w:val="00674C3C"/>
    <w:rsid w:val="00683193"/>
    <w:rsid w:val="00686272"/>
    <w:rsid w:val="006867DA"/>
    <w:rsid w:val="00687A8D"/>
    <w:rsid w:val="00693460"/>
    <w:rsid w:val="00694309"/>
    <w:rsid w:val="00695934"/>
    <w:rsid w:val="0069598E"/>
    <w:rsid w:val="006A1713"/>
    <w:rsid w:val="006A2E13"/>
    <w:rsid w:val="006A498C"/>
    <w:rsid w:val="006A7C59"/>
    <w:rsid w:val="006B16F4"/>
    <w:rsid w:val="006B46DB"/>
    <w:rsid w:val="006B7F9A"/>
    <w:rsid w:val="006C4182"/>
    <w:rsid w:val="006C6635"/>
    <w:rsid w:val="006D081A"/>
    <w:rsid w:val="006D4093"/>
    <w:rsid w:val="006D4A67"/>
    <w:rsid w:val="006D4E4C"/>
    <w:rsid w:val="006E36EE"/>
    <w:rsid w:val="006E589F"/>
    <w:rsid w:val="006E7C52"/>
    <w:rsid w:val="006F480D"/>
    <w:rsid w:val="006F65ED"/>
    <w:rsid w:val="00701F83"/>
    <w:rsid w:val="00702D5E"/>
    <w:rsid w:val="00704773"/>
    <w:rsid w:val="0070574E"/>
    <w:rsid w:val="00706270"/>
    <w:rsid w:val="0070794A"/>
    <w:rsid w:val="00714D6D"/>
    <w:rsid w:val="0071716C"/>
    <w:rsid w:val="00717189"/>
    <w:rsid w:val="00717343"/>
    <w:rsid w:val="007203B9"/>
    <w:rsid w:val="00722548"/>
    <w:rsid w:val="0072745D"/>
    <w:rsid w:val="007304E5"/>
    <w:rsid w:val="00740C0C"/>
    <w:rsid w:val="00741280"/>
    <w:rsid w:val="007468E0"/>
    <w:rsid w:val="00747724"/>
    <w:rsid w:val="00747BD7"/>
    <w:rsid w:val="007514DC"/>
    <w:rsid w:val="00753775"/>
    <w:rsid w:val="0075719A"/>
    <w:rsid w:val="0076091B"/>
    <w:rsid w:val="00763670"/>
    <w:rsid w:val="00765B2C"/>
    <w:rsid w:val="00772427"/>
    <w:rsid w:val="00773320"/>
    <w:rsid w:val="00773633"/>
    <w:rsid w:val="007763E4"/>
    <w:rsid w:val="007807BF"/>
    <w:rsid w:val="007809CC"/>
    <w:rsid w:val="0078108B"/>
    <w:rsid w:val="00783B86"/>
    <w:rsid w:val="00784256"/>
    <w:rsid w:val="007873D0"/>
    <w:rsid w:val="007907E7"/>
    <w:rsid w:val="0079085C"/>
    <w:rsid w:val="00794467"/>
    <w:rsid w:val="007A308E"/>
    <w:rsid w:val="007B2468"/>
    <w:rsid w:val="007C600D"/>
    <w:rsid w:val="007C6A7C"/>
    <w:rsid w:val="007D0C63"/>
    <w:rsid w:val="007D0E34"/>
    <w:rsid w:val="007D2DD7"/>
    <w:rsid w:val="007D3187"/>
    <w:rsid w:val="007D5AC0"/>
    <w:rsid w:val="007D6189"/>
    <w:rsid w:val="007D728F"/>
    <w:rsid w:val="007E05BE"/>
    <w:rsid w:val="007E2EE2"/>
    <w:rsid w:val="007E3C2E"/>
    <w:rsid w:val="007F06E0"/>
    <w:rsid w:val="007F0E5F"/>
    <w:rsid w:val="007F41B5"/>
    <w:rsid w:val="007F6635"/>
    <w:rsid w:val="00803308"/>
    <w:rsid w:val="00803E8B"/>
    <w:rsid w:val="00807732"/>
    <w:rsid w:val="008116B0"/>
    <w:rsid w:val="00812BD9"/>
    <w:rsid w:val="00812C4D"/>
    <w:rsid w:val="0081317B"/>
    <w:rsid w:val="008315A7"/>
    <w:rsid w:val="00831DB3"/>
    <w:rsid w:val="00832B00"/>
    <w:rsid w:val="00832B74"/>
    <w:rsid w:val="00832EF8"/>
    <w:rsid w:val="00833A4E"/>
    <w:rsid w:val="00833A9D"/>
    <w:rsid w:val="00840928"/>
    <w:rsid w:val="008412D0"/>
    <w:rsid w:val="00841721"/>
    <w:rsid w:val="00847F40"/>
    <w:rsid w:val="00851410"/>
    <w:rsid w:val="00855A15"/>
    <w:rsid w:val="00861C9F"/>
    <w:rsid w:val="00864537"/>
    <w:rsid w:val="00865CC1"/>
    <w:rsid w:val="00866866"/>
    <w:rsid w:val="00866AA5"/>
    <w:rsid w:val="00867E01"/>
    <w:rsid w:val="008747D0"/>
    <w:rsid w:val="00875815"/>
    <w:rsid w:val="00885ECD"/>
    <w:rsid w:val="008916A6"/>
    <w:rsid w:val="00892080"/>
    <w:rsid w:val="00892863"/>
    <w:rsid w:val="00895897"/>
    <w:rsid w:val="008967D3"/>
    <w:rsid w:val="008A55DA"/>
    <w:rsid w:val="008A7289"/>
    <w:rsid w:val="008A77C6"/>
    <w:rsid w:val="008A7CCC"/>
    <w:rsid w:val="008B1CDD"/>
    <w:rsid w:val="008B1D7B"/>
    <w:rsid w:val="008B5CED"/>
    <w:rsid w:val="008B7A84"/>
    <w:rsid w:val="008C0C3A"/>
    <w:rsid w:val="008C19DA"/>
    <w:rsid w:val="008C55B1"/>
    <w:rsid w:val="008C5BF3"/>
    <w:rsid w:val="008C62EC"/>
    <w:rsid w:val="008D0D4C"/>
    <w:rsid w:val="008D152C"/>
    <w:rsid w:val="008D5B8B"/>
    <w:rsid w:val="008D5FCF"/>
    <w:rsid w:val="008E005B"/>
    <w:rsid w:val="008E3E5D"/>
    <w:rsid w:val="008E5164"/>
    <w:rsid w:val="008E5716"/>
    <w:rsid w:val="00900A69"/>
    <w:rsid w:val="00902BA1"/>
    <w:rsid w:val="00903594"/>
    <w:rsid w:val="0090381C"/>
    <w:rsid w:val="00903CD8"/>
    <w:rsid w:val="00904300"/>
    <w:rsid w:val="00910A45"/>
    <w:rsid w:val="00913AC5"/>
    <w:rsid w:val="00914E1D"/>
    <w:rsid w:val="009253D7"/>
    <w:rsid w:val="009265CE"/>
    <w:rsid w:val="009277E9"/>
    <w:rsid w:val="009307C0"/>
    <w:rsid w:val="0093152D"/>
    <w:rsid w:val="00931FA6"/>
    <w:rsid w:val="00932BEA"/>
    <w:rsid w:val="009366D6"/>
    <w:rsid w:val="00942524"/>
    <w:rsid w:val="00944BDC"/>
    <w:rsid w:val="00950703"/>
    <w:rsid w:val="0095076A"/>
    <w:rsid w:val="00953171"/>
    <w:rsid w:val="0095335F"/>
    <w:rsid w:val="00954453"/>
    <w:rsid w:val="00956BD2"/>
    <w:rsid w:val="00956EB0"/>
    <w:rsid w:val="00962C62"/>
    <w:rsid w:val="00964282"/>
    <w:rsid w:val="00964E77"/>
    <w:rsid w:val="00965852"/>
    <w:rsid w:val="00965ECC"/>
    <w:rsid w:val="00970B22"/>
    <w:rsid w:val="00970D12"/>
    <w:rsid w:val="00974891"/>
    <w:rsid w:val="0097525B"/>
    <w:rsid w:val="0097562D"/>
    <w:rsid w:val="00980285"/>
    <w:rsid w:val="00981010"/>
    <w:rsid w:val="0098122C"/>
    <w:rsid w:val="009823D4"/>
    <w:rsid w:val="00984669"/>
    <w:rsid w:val="009919B6"/>
    <w:rsid w:val="009920B2"/>
    <w:rsid w:val="0099457B"/>
    <w:rsid w:val="00995033"/>
    <w:rsid w:val="00996351"/>
    <w:rsid w:val="009A0834"/>
    <w:rsid w:val="009A54D4"/>
    <w:rsid w:val="009A553F"/>
    <w:rsid w:val="009A7562"/>
    <w:rsid w:val="009B11BB"/>
    <w:rsid w:val="009B2B53"/>
    <w:rsid w:val="009B4A7E"/>
    <w:rsid w:val="009C0FED"/>
    <w:rsid w:val="009C2B48"/>
    <w:rsid w:val="009C4336"/>
    <w:rsid w:val="009C5C21"/>
    <w:rsid w:val="009D3F1E"/>
    <w:rsid w:val="009D450F"/>
    <w:rsid w:val="009D5646"/>
    <w:rsid w:val="009D76D6"/>
    <w:rsid w:val="009E325C"/>
    <w:rsid w:val="009E3569"/>
    <w:rsid w:val="009E49A4"/>
    <w:rsid w:val="009E7122"/>
    <w:rsid w:val="009F59CA"/>
    <w:rsid w:val="009F7A1B"/>
    <w:rsid w:val="00A0595D"/>
    <w:rsid w:val="00A065E8"/>
    <w:rsid w:val="00A11A31"/>
    <w:rsid w:val="00A14995"/>
    <w:rsid w:val="00A153D9"/>
    <w:rsid w:val="00A17B70"/>
    <w:rsid w:val="00A21DD9"/>
    <w:rsid w:val="00A252AF"/>
    <w:rsid w:val="00A26B1C"/>
    <w:rsid w:val="00A33F7E"/>
    <w:rsid w:val="00A40676"/>
    <w:rsid w:val="00A438E7"/>
    <w:rsid w:val="00A43D0B"/>
    <w:rsid w:val="00A50F8A"/>
    <w:rsid w:val="00A524E2"/>
    <w:rsid w:val="00A5728A"/>
    <w:rsid w:val="00A57CF3"/>
    <w:rsid w:val="00A62E47"/>
    <w:rsid w:val="00A657C3"/>
    <w:rsid w:val="00A67BD3"/>
    <w:rsid w:val="00A67E5D"/>
    <w:rsid w:val="00A7059D"/>
    <w:rsid w:val="00A73341"/>
    <w:rsid w:val="00A73CE8"/>
    <w:rsid w:val="00A77CA6"/>
    <w:rsid w:val="00A81F3F"/>
    <w:rsid w:val="00A83D7B"/>
    <w:rsid w:val="00A86F63"/>
    <w:rsid w:val="00A875D5"/>
    <w:rsid w:val="00A90BA2"/>
    <w:rsid w:val="00A9136E"/>
    <w:rsid w:val="00A91427"/>
    <w:rsid w:val="00A91C36"/>
    <w:rsid w:val="00A96C89"/>
    <w:rsid w:val="00A97211"/>
    <w:rsid w:val="00A975BB"/>
    <w:rsid w:val="00AA126F"/>
    <w:rsid w:val="00AA26EA"/>
    <w:rsid w:val="00AA5D8B"/>
    <w:rsid w:val="00AA7A77"/>
    <w:rsid w:val="00AB0E8C"/>
    <w:rsid w:val="00AB1A65"/>
    <w:rsid w:val="00AB4F8B"/>
    <w:rsid w:val="00AB5078"/>
    <w:rsid w:val="00AB5B72"/>
    <w:rsid w:val="00AB71AD"/>
    <w:rsid w:val="00AC209A"/>
    <w:rsid w:val="00AC2A1F"/>
    <w:rsid w:val="00AC7588"/>
    <w:rsid w:val="00AD39DA"/>
    <w:rsid w:val="00AD42C0"/>
    <w:rsid w:val="00AD46FA"/>
    <w:rsid w:val="00AD5DDA"/>
    <w:rsid w:val="00AD760C"/>
    <w:rsid w:val="00AE27F0"/>
    <w:rsid w:val="00AE4AF5"/>
    <w:rsid w:val="00AE69F4"/>
    <w:rsid w:val="00AF179B"/>
    <w:rsid w:val="00AF229A"/>
    <w:rsid w:val="00AF5B73"/>
    <w:rsid w:val="00B0019E"/>
    <w:rsid w:val="00B00362"/>
    <w:rsid w:val="00B01420"/>
    <w:rsid w:val="00B11783"/>
    <w:rsid w:val="00B11BAC"/>
    <w:rsid w:val="00B22D40"/>
    <w:rsid w:val="00B23B0A"/>
    <w:rsid w:val="00B24CF0"/>
    <w:rsid w:val="00B253BC"/>
    <w:rsid w:val="00B27E48"/>
    <w:rsid w:val="00B30546"/>
    <w:rsid w:val="00B34901"/>
    <w:rsid w:val="00B35229"/>
    <w:rsid w:val="00B353C8"/>
    <w:rsid w:val="00B36B89"/>
    <w:rsid w:val="00B37EF8"/>
    <w:rsid w:val="00B416CC"/>
    <w:rsid w:val="00B4209F"/>
    <w:rsid w:val="00B44DDD"/>
    <w:rsid w:val="00B4553A"/>
    <w:rsid w:val="00B47472"/>
    <w:rsid w:val="00B52384"/>
    <w:rsid w:val="00B528DB"/>
    <w:rsid w:val="00B54277"/>
    <w:rsid w:val="00B56322"/>
    <w:rsid w:val="00B576AF"/>
    <w:rsid w:val="00B61EB2"/>
    <w:rsid w:val="00B67F3F"/>
    <w:rsid w:val="00B72A33"/>
    <w:rsid w:val="00B7501E"/>
    <w:rsid w:val="00B777CD"/>
    <w:rsid w:val="00B82C43"/>
    <w:rsid w:val="00B848C3"/>
    <w:rsid w:val="00B8557F"/>
    <w:rsid w:val="00B8708F"/>
    <w:rsid w:val="00B8756E"/>
    <w:rsid w:val="00B8792A"/>
    <w:rsid w:val="00B907DE"/>
    <w:rsid w:val="00B9231A"/>
    <w:rsid w:val="00B93FEC"/>
    <w:rsid w:val="00B949F5"/>
    <w:rsid w:val="00B95806"/>
    <w:rsid w:val="00BA00E1"/>
    <w:rsid w:val="00BA0856"/>
    <w:rsid w:val="00BA11FB"/>
    <w:rsid w:val="00BA3E48"/>
    <w:rsid w:val="00BA485A"/>
    <w:rsid w:val="00BA69C8"/>
    <w:rsid w:val="00BB23FE"/>
    <w:rsid w:val="00BB32CF"/>
    <w:rsid w:val="00BB6964"/>
    <w:rsid w:val="00BC2704"/>
    <w:rsid w:val="00BC70BE"/>
    <w:rsid w:val="00BD03C5"/>
    <w:rsid w:val="00BD1B05"/>
    <w:rsid w:val="00BD589D"/>
    <w:rsid w:val="00BD5C0A"/>
    <w:rsid w:val="00BD6A3F"/>
    <w:rsid w:val="00BE06A3"/>
    <w:rsid w:val="00BE0E39"/>
    <w:rsid w:val="00BE0E67"/>
    <w:rsid w:val="00BE158C"/>
    <w:rsid w:val="00BE361C"/>
    <w:rsid w:val="00BE4DF0"/>
    <w:rsid w:val="00BE5B5D"/>
    <w:rsid w:val="00BE779E"/>
    <w:rsid w:val="00BE7920"/>
    <w:rsid w:val="00BE79CB"/>
    <w:rsid w:val="00BE7E42"/>
    <w:rsid w:val="00BE7ECD"/>
    <w:rsid w:val="00BF7EF4"/>
    <w:rsid w:val="00C01FAF"/>
    <w:rsid w:val="00C02D81"/>
    <w:rsid w:val="00C04FCF"/>
    <w:rsid w:val="00C068B2"/>
    <w:rsid w:val="00C07341"/>
    <w:rsid w:val="00C07E08"/>
    <w:rsid w:val="00C10B5D"/>
    <w:rsid w:val="00C10C65"/>
    <w:rsid w:val="00C10C91"/>
    <w:rsid w:val="00C13E9E"/>
    <w:rsid w:val="00C15AAE"/>
    <w:rsid w:val="00C15CDB"/>
    <w:rsid w:val="00C16D39"/>
    <w:rsid w:val="00C20B46"/>
    <w:rsid w:val="00C21555"/>
    <w:rsid w:val="00C27E4B"/>
    <w:rsid w:val="00C31501"/>
    <w:rsid w:val="00C41AB2"/>
    <w:rsid w:val="00C43DFB"/>
    <w:rsid w:val="00C456D6"/>
    <w:rsid w:val="00C45CEF"/>
    <w:rsid w:val="00C54183"/>
    <w:rsid w:val="00C54600"/>
    <w:rsid w:val="00C55E20"/>
    <w:rsid w:val="00C57158"/>
    <w:rsid w:val="00C6064A"/>
    <w:rsid w:val="00C60C54"/>
    <w:rsid w:val="00C6241A"/>
    <w:rsid w:val="00C71348"/>
    <w:rsid w:val="00C74CEB"/>
    <w:rsid w:val="00C77A90"/>
    <w:rsid w:val="00C77DC7"/>
    <w:rsid w:val="00C8090A"/>
    <w:rsid w:val="00C82F7B"/>
    <w:rsid w:val="00C83C46"/>
    <w:rsid w:val="00C871E3"/>
    <w:rsid w:val="00C87AD9"/>
    <w:rsid w:val="00C92C15"/>
    <w:rsid w:val="00C93294"/>
    <w:rsid w:val="00C9519C"/>
    <w:rsid w:val="00C97728"/>
    <w:rsid w:val="00CA20E8"/>
    <w:rsid w:val="00CA37DA"/>
    <w:rsid w:val="00CA64C6"/>
    <w:rsid w:val="00CA7077"/>
    <w:rsid w:val="00CB3171"/>
    <w:rsid w:val="00CB3AB9"/>
    <w:rsid w:val="00CB52D2"/>
    <w:rsid w:val="00CB77FF"/>
    <w:rsid w:val="00CC0007"/>
    <w:rsid w:val="00CC0471"/>
    <w:rsid w:val="00CC1734"/>
    <w:rsid w:val="00CC3090"/>
    <w:rsid w:val="00CC39CC"/>
    <w:rsid w:val="00CC4D77"/>
    <w:rsid w:val="00CD06F6"/>
    <w:rsid w:val="00CD4A0C"/>
    <w:rsid w:val="00CD4B4B"/>
    <w:rsid w:val="00CD67C9"/>
    <w:rsid w:val="00CD78D1"/>
    <w:rsid w:val="00CE1001"/>
    <w:rsid w:val="00CE21F7"/>
    <w:rsid w:val="00CE30CA"/>
    <w:rsid w:val="00CE7B2E"/>
    <w:rsid w:val="00CF14FD"/>
    <w:rsid w:val="00CF28B9"/>
    <w:rsid w:val="00CF2FA4"/>
    <w:rsid w:val="00CF35AA"/>
    <w:rsid w:val="00CF5D58"/>
    <w:rsid w:val="00CF7E27"/>
    <w:rsid w:val="00D00CF6"/>
    <w:rsid w:val="00D01416"/>
    <w:rsid w:val="00D018A7"/>
    <w:rsid w:val="00D03EFD"/>
    <w:rsid w:val="00D06D65"/>
    <w:rsid w:val="00D145D4"/>
    <w:rsid w:val="00D15633"/>
    <w:rsid w:val="00D15717"/>
    <w:rsid w:val="00D21295"/>
    <w:rsid w:val="00D2163F"/>
    <w:rsid w:val="00D23684"/>
    <w:rsid w:val="00D2451F"/>
    <w:rsid w:val="00D2549A"/>
    <w:rsid w:val="00D261E0"/>
    <w:rsid w:val="00D403B8"/>
    <w:rsid w:val="00D43C4B"/>
    <w:rsid w:val="00D44DAC"/>
    <w:rsid w:val="00D45582"/>
    <w:rsid w:val="00D45F9F"/>
    <w:rsid w:val="00D46D70"/>
    <w:rsid w:val="00D53F03"/>
    <w:rsid w:val="00D562BE"/>
    <w:rsid w:val="00D5642E"/>
    <w:rsid w:val="00D63984"/>
    <w:rsid w:val="00D63F27"/>
    <w:rsid w:val="00D64A5A"/>
    <w:rsid w:val="00D64BAA"/>
    <w:rsid w:val="00D705C5"/>
    <w:rsid w:val="00D7147A"/>
    <w:rsid w:val="00D728A4"/>
    <w:rsid w:val="00D75C02"/>
    <w:rsid w:val="00D804F2"/>
    <w:rsid w:val="00D80BF0"/>
    <w:rsid w:val="00D817BD"/>
    <w:rsid w:val="00D82D9D"/>
    <w:rsid w:val="00D8361D"/>
    <w:rsid w:val="00D867F9"/>
    <w:rsid w:val="00D87A0F"/>
    <w:rsid w:val="00D87EA0"/>
    <w:rsid w:val="00D96B44"/>
    <w:rsid w:val="00DA134D"/>
    <w:rsid w:val="00DA1DE2"/>
    <w:rsid w:val="00DA4DC9"/>
    <w:rsid w:val="00DA6B84"/>
    <w:rsid w:val="00DA73BA"/>
    <w:rsid w:val="00DB027F"/>
    <w:rsid w:val="00DB1934"/>
    <w:rsid w:val="00DB1DDF"/>
    <w:rsid w:val="00DB302A"/>
    <w:rsid w:val="00DB5521"/>
    <w:rsid w:val="00DB6776"/>
    <w:rsid w:val="00DB79B2"/>
    <w:rsid w:val="00DC2420"/>
    <w:rsid w:val="00DC25C0"/>
    <w:rsid w:val="00DC4D7C"/>
    <w:rsid w:val="00DC79A4"/>
    <w:rsid w:val="00DD0FE1"/>
    <w:rsid w:val="00DD6503"/>
    <w:rsid w:val="00DD6E6A"/>
    <w:rsid w:val="00DE39CD"/>
    <w:rsid w:val="00DE5C1B"/>
    <w:rsid w:val="00DE5F50"/>
    <w:rsid w:val="00DE67C0"/>
    <w:rsid w:val="00DE72BA"/>
    <w:rsid w:val="00DF3FDB"/>
    <w:rsid w:val="00DF5CF5"/>
    <w:rsid w:val="00E036A2"/>
    <w:rsid w:val="00E04C81"/>
    <w:rsid w:val="00E056D1"/>
    <w:rsid w:val="00E11508"/>
    <w:rsid w:val="00E16C4F"/>
    <w:rsid w:val="00E22A1A"/>
    <w:rsid w:val="00E2446D"/>
    <w:rsid w:val="00E2720F"/>
    <w:rsid w:val="00E304D5"/>
    <w:rsid w:val="00E32BAB"/>
    <w:rsid w:val="00E3583A"/>
    <w:rsid w:val="00E40C6D"/>
    <w:rsid w:val="00E44D53"/>
    <w:rsid w:val="00E44FAF"/>
    <w:rsid w:val="00E45964"/>
    <w:rsid w:val="00E50CC0"/>
    <w:rsid w:val="00E515A5"/>
    <w:rsid w:val="00E55A7A"/>
    <w:rsid w:val="00E56F92"/>
    <w:rsid w:val="00E57CBE"/>
    <w:rsid w:val="00E61202"/>
    <w:rsid w:val="00E616C9"/>
    <w:rsid w:val="00E62509"/>
    <w:rsid w:val="00E640F1"/>
    <w:rsid w:val="00E64161"/>
    <w:rsid w:val="00E65008"/>
    <w:rsid w:val="00E65DC0"/>
    <w:rsid w:val="00E67D0E"/>
    <w:rsid w:val="00E70EA0"/>
    <w:rsid w:val="00E720F3"/>
    <w:rsid w:val="00E7260E"/>
    <w:rsid w:val="00E74721"/>
    <w:rsid w:val="00E80B67"/>
    <w:rsid w:val="00E80E00"/>
    <w:rsid w:val="00E815F0"/>
    <w:rsid w:val="00E81D6F"/>
    <w:rsid w:val="00E86E5A"/>
    <w:rsid w:val="00E874DA"/>
    <w:rsid w:val="00E8783B"/>
    <w:rsid w:val="00E91758"/>
    <w:rsid w:val="00E9255F"/>
    <w:rsid w:val="00E93488"/>
    <w:rsid w:val="00E93781"/>
    <w:rsid w:val="00E94B79"/>
    <w:rsid w:val="00E96B64"/>
    <w:rsid w:val="00EA0B22"/>
    <w:rsid w:val="00EA2B3B"/>
    <w:rsid w:val="00EA5FCE"/>
    <w:rsid w:val="00EB13E1"/>
    <w:rsid w:val="00EB273E"/>
    <w:rsid w:val="00EB3750"/>
    <w:rsid w:val="00EB37D0"/>
    <w:rsid w:val="00EB40FD"/>
    <w:rsid w:val="00EB6C84"/>
    <w:rsid w:val="00EB7797"/>
    <w:rsid w:val="00EC32AF"/>
    <w:rsid w:val="00EC33BA"/>
    <w:rsid w:val="00EC54EA"/>
    <w:rsid w:val="00EC674A"/>
    <w:rsid w:val="00ED029E"/>
    <w:rsid w:val="00ED1A5E"/>
    <w:rsid w:val="00ED1D31"/>
    <w:rsid w:val="00ED2886"/>
    <w:rsid w:val="00EE08EE"/>
    <w:rsid w:val="00EE1D0A"/>
    <w:rsid w:val="00EE77E9"/>
    <w:rsid w:val="00EF002D"/>
    <w:rsid w:val="00EF255B"/>
    <w:rsid w:val="00EF5658"/>
    <w:rsid w:val="00EF6CB7"/>
    <w:rsid w:val="00F05FCE"/>
    <w:rsid w:val="00F060C2"/>
    <w:rsid w:val="00F06A36"/>
    <w:rsid w:val="00F111D4"/>
    <w:rsid w:val="00F13E7A"/>
    <w:rsid w:val="00F1474D"/>
    <w:rsid w:val="00F15112"/>
    <w:rsid w:val="00F17454"/>
    <w:rsid w:val="00F17DEA"/>
    <w:rsid w:val="00F218A0"/>
    <w:rsid w:val="00F26748"/>
    <w:rsid w:val="00F3233A"/>
    <w:rsid w:val="00F3384A"/>
    <w:rsid w:val="00F353C9"/>
    <w:rsid w:val="00F364C9"/>
    <w:rsid w:val="00F37806"/>
    <w:rsid w:val="00F41856"/>
    <w:rsid w:val="00F4208C"/>
    <w:rsid w:val="00F428C2"/>
    <w:rsid w:val="00F42C62"/>
    <w:rsid w:val="00F43855"/>
    <w:rsid w:val="00F43B0F"/>
    <w:rsid w:val="00F44725"/>
    <w:rsid w:val="00F46D41"/>
    <w:rsid w:val="00F502AD"/>
    <w:rsid w:val="00F54CCC"/>
    <w:rsid w:val="00F64D47"/>
    <w:rsid w:val="00F66412"/>
    <w:rsid w:val="00F75C06"/>
    <w:rsid w:val="00F80882"/>
    <w:rsid w:val="00F85E2B"/>
    <w:rsid w:val="00F8786B"/>
    <w:rsid w:val="00F943BF"/>
    <w:rsid w:val="00F9501D"/>
    <w:rsid w:val="00F97660"/>
    <w:rsid w:val="00FA0020"/>
    <w:rsid w:val="00FA0CD4"/>
    <w:rsid w:val="00FA4354"/>
    <w:rsid w:val="00FA4F44"/>
    <w:rsid w:val="00FB0391"/>
    <w:rsid w:val="00FB5302"/>
    <w:rsid w:val="00FB5E86"/>
    <w:rsid w:val="00FC0ADA"/>
    <w:rsid w:val="00FC15CA"/>
    <w:rsid w:val="00FC2826"/>
    <w:rsid w:val="00FC44BE"/>
    <w:rsid w:val="00FC4D19"/>
    <w:rsid w:val="00FC5860"/>
    <w:rsid w:val="00FC6706"/>
    <w:rsid w:val="00FD04CE"/>
    <w:rsid w:val="00FD0FA1"/>
    <w:rsid w:val="00FD3A90"/>
    <w:rsid w:val="00FD7435"/>
    <w:rsid w:val="00FE638F"/>
    <w:rsid w:val="00FE7E10"/>
    <w:rsid w:val="00FF2FB7"/>
    <w:rsid w:val="00FF4A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05B6"/>
  <w15:docId w15:val="{D799AC4C-9DDA-4F37-85FC-D17C7E97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03"/>
    <w:pPr>
      <w:jc w:val="both"/>
    </w:pPr>
    <w:rPr>
      <w:rFonts w:asciiTheme="majorHAnsi" w:hAnsiTheme="majorHAns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0856"/>
    <w:pPr>
      <w:ind w:left="720"/>
      <w:contextualSpacing/>
    </w:pPr>
  </w:style>
  <w:style w:type="table" w:styleId="TableGrid">
    <w:name w:val="Table Grid"/>
    <w:basedOn w:val="TableNormal"/>
    <w:uiPriority w:val="59"/>
    <w:rsid w:val="000D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F48AA"/>
    <w:pPr>
      <w:numPr>
        <w:numId w:val="7"/>
      </w:numPr>
    </w:pPr>
  </w:style>
  <w:style w:type="paragraph" w:styleId="Header">
    <w:name w:val="header"/>
    <w:basedOn w:val="Normal"/>
    <w:link w:val="HeaderChar"/>
    <w:uiPriority w:val="99"/>
    <w:unhideWhenUsed/>
    <w:rsid w:val="00C10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C65"/>
  </w:style>
  <w:style w:type="paragraph" w:styleId="Footer">
    <w:name w:val="footer"/>
    <w:basedOn w:val="Normal"/>
    <w:link w:val="FooterChar"/>
    <w:uiPriority w:val="99"/>
    <w:unhideWhenUsed/>
    <w:rsid w:val="00C1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C65"/>
  </w:style>
  <w:style w:type="character" w:customStyle="1" w:styleId="ListParagraphChar">
    <w:name w:val="List Paragraph Char"/>
    <w:link w:val="ListParagraph"/>
    <w:uiPriority w:val="34"/>
    <w:locked/>
    <w:rsid w:val="00226707"/>
  </w:style>
  <w:style w:type="paragraph" w:styleId="Caption">
    <w:name w:val="caption"/>
    <w:basedOn w:val="Normal"/>
    <w:next w:val="Normal"/>
    <w:uiPriority w:val="35"/>
    <w:unhideWhenUsed/>
    <w:qFormat/>
    <w:rsid w:val="00A90BA2"/>
    <w:pPr>
      <w:spacing w:after="200" w:line="240" w:lineRule="auto"/>
    </w:pPr>
    <w:rPr>
      <w:rFonts w:ascii="Times New Roman" w:hAnsi="Times New Roman"/>
      <w:iCs/>
      <w:szCs w:val="18"/>
      <w:lang w:val="en-US"/>
    </w:rPr>
  </w:style>
  <w:style w:type="character" w:styleId="Hyperlink">
    <w:name w:val="Hyperlink"/>
    <w:basedOn w:val="DefaultParagraphFont"/>
    <w:uiPriority w:val="99"/>
    <w:unhideWhenUsed/>
    <w:rsid w:val="00714D6D"/>
    <w:rPr>
      <w:color w:val="0563C1" w:themeColor="hyperlink"/>
      <w:u w:val="single"/>
    </w:rPr>
  </w:style>
  <w:style w:type="table" w:customStyle="1" w:styleId="PlainTable51">
    <w:name w:val="Plain Table 51"/>
    <w:basedOn w:val="TableNormal"/>
    <w:uiPriority w:val="45"/>
    <w:rsid w:val="007304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9B2B53"/>
  </w:style>
  <w:style w:type="paragraph" w:styleId="BalloonText">
    <w:name w:val="Balloon Text"/>
    <w:basedOn w:val="Normal"/>
    <w:link w:val="BalloonTextChar"/>
    <w:uiPriority w:val="99"/>
    <w:semiHidden/>
    <w:unhideWhenUsed/>
    <w:rsid w:val="0036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53"/>
    <w:rPr>
      <w:rFonts w:ascii="Segoe UI" w:hAnsi="Segoe UI" w:cs="Segoe UI"/>
      <w:sz w:val="18"/>
      <w:szCs w:val="18"/>
    </w:rPr>
  </w:style>
  <w:style w:type="character" w:styleId="PlaceholderText">
    <w:name w:val="Placeholder Text"/>
    <w:basedOn w:val="DefaultParagraphFont"/>
    <w:uiPriority w:val="99"/>
    <w:semiHidden/>
    <w:rsid w:val="00693460"/>
    <w:rPr>
      <w:color w:val="808080"/>
    </w:rPr>
  </w:style>
  <w:style w:type="character" w:styleId="CommentReference">
    <w:name w:val="annotation reference"/>
    <w:basedOn w:val="DefaultParagraphFont"/>
    <w:uiPriority w:val="99"/>
    <w:semiHidden/>
    <w:unhideWhenUsed/>
    <w:rsid w:val="00CE21F7"/>
    <w:rPr>
      <w:sz w:val="16"/>
      <w:szCs w:val="16"/>
    </w:rPr>
  </w:style>
  <w:style w:type="paragraph" w:styleId="CommentText">
    <w:name w:val="annotation text"/>
    <w:basedOn w:val="Normal"/>
    <w:link w:val="CommentTextChar"/>
    <w:uiPriority w:val="99"/>
    <w:semiHidden/>
    <w:unhideWhenUsed/>
    <w:rsid w:val="00CE21F7"/>
    <w:pPr>
      <w:spacing w:line="240" w:lineRule="auto"/>
    </w:pPr>
    <w:rPr>
      <w:sz w:val="20"/>
      <w:szCs w:val="20"/>
    </w:rPr>
  </w:style>
  <w:style w:type="character" w:customStyle="1" w:styleId="CommentTextChar">
    <w:name w:val="Comment Text Char"/>
    <w:basedOn w:val="DefaultParagraphFont"/>
    <w:link w:val="CommentText"/>
    <w:uiPriority w:val="99"/>
    <w:semiHidden/>
    <w:rsid w:val="00CE21F7"/>
    <w:rPr>
      <w:sz w:val="20"/>
      <w:szCs w:val="20"/>
    </w:rPr>
  </w:style>
  <w:style w:type="paragraph" w:styleId="CommentSubject">
    <w:name w:val="annotation subject"/>
    <w:basedOn w:val="CommentText"/>
    <w:next w:val="CommentText"/>
    <w:link w:val="CommentSubjectChar"/>
    <w:uiPriority w:val="99"/>
    <w:semiHidden/>
    <w:unhideWhenUsed/>
    <w:rsid w:val="00CE21F7"/>
    <w:rPr>
      <w:b/>
      <w:bCs/>
    </w:rPr>
  </w:style>
  <w:style w:type="character" w:customStyle="1" w:styleId="CommentSubjectChar">
    <w:name w:val="Comment Subject Char"/>
    <w:basedOn w:val="CommentTextChar"/>
    <w:link w:val="CommentSubject"/>
    <w:uiPriority w:val="99"/>
    <w:semiHidden/>
    <w:rsid w:val="00CE21F7"/>
    <w:rPr>
      <w:b/>
      <w:bCs/>
      <w:sz w:val="20"/>
      <w:szCs w:val="20"/>
    </w:rPr>
  </w:style>
  <w:style w:type="paragraph" w:customStyle="1" w:styleId="TnTcGismlTATiu">
    <w:name w:val="Tên Tác Giả (sml_TA) (Tiêu đề)"/>
    <w:basedOn w:val="Normal"/>
    <w:uiPriority w:val="99"/>
    <w:rsid w:val="00210FF3"/>
    <w:pPr>
      <w:autoSpaceDE w:val="0"/>
      <w:autoSpaceDN w:val="0"/>
      <w:adjustRightInd w:val="0"/>
      <w:spacing w:after="0" w:line="288" w:lineRule="auto"/>
      <w:textAlignment w:val="center"/>
    </w:pPr>
    <w:rPr>
      <w:rFonts w:ascii="San Francisco Text Regular" w:eastAsia="Calibri" w:hAnsi="San Francisco Text Regular" w:cs="San Francisco Text Regular"/>
      <w:color w:val="000000"/>
      <w:sz w:val="18"/>
      <w:szCs w:val="18"/>
      <w:lang w:val="en-US"/>
    </w:rPr>
  </w:style>
  <w:style w:type="paragraph" w:customStyle="1" w:styleId="chuan">
    <w:name w:val="chuan"/>
    <w:basedOn w:val="Normal"/>
    <w:qFormat/>
    <w:rsid w:val="00053341"/>
    <w:pPr>
      <w:spacing w:after="200" w:line="312" w:lineRule="auto"/>
      <w:ind w:right="142" w:firstLine="284"/>
    </w:pPr>
    <w:rPr>
      <w:rFonts w:ascii="Times New Roman" w:eastAsia="Calibri" w:hAnsi="Times New Roman" w:cs="Times New Roman"/>
      <w:color w:val="auto"/>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5403">
      <w:bodyDiv w:val="1"/>
      <w:marLeft w:val="0"/>
      <w:marRight w:val="0"/>
      <w:marTop w:val="0"/>
      <w:marBottom w:val="0"/>
      <w:divBdr>
        <w:top w:val="none" w:sz="0" w:space="0" w:color="auto"/>
        <w:left w:val="none" w:sz="0" w:space="0" w:color="auto"/>
        <w:bottom w:val="none" w:sz="0" w:space="0" w:color="auto"/>
        <w:right w:val="none" w:sz="0" w:space="0" w:color="auto"/>
      </w:divBdr>
    </w:div>
    <w:div w:id="677974286">
      <w:bodyDiv w:val="1"/>
      <w:marLeft w:val="0"/>
      <w:marRight w:val="0"/>
      <w:marTop w:val="0"/>
      <w:marBottom w:val="0"/>
      <w:divBdr>
        <w:top w:val="none" w:sz="0" w:space="0" w:color="auto"/>
        <w:left w:val="none" w:sz="0" w:space="0" w:color="auto"/>
        <w:bottom w:val="none" w:sz="0" w:space="0" w:color="auto"/>
        <w:right w:val="none" w:sz="0" w:space="0" w:color="auto"/>
      </w:divBdr>
    </w:div>
    <w:div w:id="989554573">
      <w:bodyDiv w:val="1"/>
      <w:marLeft w:val="0"/>
      <w:marRight w:val="0"/>
      <w:marTop w:val="0"/>
      <w:marBottom w:val="0"/>
      <w:divBdr>
        <w:top w:val="none" w:sz="0" w:space="0" w:color="auto"/>
        <w:left w:val="none" w:sz="0" w:space="0" w:color="auto"/>
        <w:bottom w:val="none" w:sz="0" w:space="0" w:color="auto"/>
        <w:right w:val="none" w:sz="0" w:space="0" w:color="auto"/>
      </w:divBdr>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
    <w:div w:id="1881621844">
      <w:bodyDiv w:val="1"/>
      <w:marLeft w:val="0"/>
      <w:marRight w:val="0"/>
      <w:marTop w:val="0"/>
      <w:marBottom w:val="0"/>
      <w:divBdr>
        <w:top w:val="none" w:sz="0" w:space="0" w:color="auto"/>
        <w:left w:val="none" w:sz="0" w:space="0" w:color="auto"/>
        <w:bottom w:val="none" w:sz="0" w:space="0" w:color="auto"/>
        <w:right w:val="none" w:sz="0" w:space="0" w:color="auto"/>
      </w:divBdr>
    </w:div>
    <w:div w:id="20014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DF17-9659-4242-A0D8-A9D52398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14</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Phùng Anh Thư</dc:creator>
  <cp:lastModifiedBy>Admin-KT</cp:lastModifiedBy>
  <cp:revision>677</cp:revision>
  <cp:lastPrinted>2017-04-24T05:00:00Z</cp:lastPrinted>
  <dcterms:created xsi:type="dcterms:W3CDTF">2016-08-03T07:14:00Z</dcterms:created>
  <dcterms:modified xsi:type="dcterms:W3CDTF">2017-09-23T03:25:00Z</dcterms:modified>
</cp:coreProperties>
</file>