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50" w:rsidRPr="00BD74C3" w:rsidRDefault="005B1350" w:rsidP="00054651">
      <w:pPr>
        <w:pStyle w:val="Heading1"/>
        <w:jc w:val="center"/>
        <w:rPr>
          <w:rFonts w:ascii="Times New Roman" w:hAnsi="Times New Roman"/>
          <w:sz w:val="32"/>
          <w:szCs w:val="24"/>
          <w:lang w:val="en-US"/>
        </w:rPr>
      </w:pPr>
      <w:r w:rsidRPr="00BD74C3">
        <w:rPr>
          <w:rFonts w:ascii="Times New Roman" w:hAnsi="Times New Roman"/>
          <w:sz w:val="32"/>
          <w:szCs w:val="24"/>
          <w:lang w:val="en-US"/>
        </w:rPr>
        <w:t>Tiếp cận thông tin</w:t>
      </w:r>
      <w:r>
        <w:rPr>
          <w:rFonts w:ascii="Times New Roman" w:hAnsi="Times New Roman"/>
          <w:sz w:val="32"/>
          <w:szCs w:val="24"/>
          <w:lang w:val="en-US"/>
        </w:rPr>
        <w:t xml:space="preserve"> và</w:t>
      </w:r>
      <w:r w:rsidRPr="00BD74C3">
        <w:rPr>
          <w:rFonts w:ascii="Times New Roman" w:hAnsi="Times New Roman"/>
          <w:sz w:val="32"/>
          <w:szCs w:val="24"/>
          <w:lang w:val="en-US"/>
        </w:rPr>
        <w:t xml:space="preserve"> dịch vụ quản lý </w:t>
      </w:r>
      <w:r>
        <w:rPr>
          <w:rFonts w:ascii="Times New Roman" w:hAnsi="Times New Roman"/>
          <w:sz w:val="32"/>
          <w:szCs w:val="24"/>
          <w:lang w:val="en-US"/>
        </w:rPr>
        <w:t>đất đai của người dân</w:t>
      </w:r>
      <w:r>
        <w:rPr>
          <w:rFonts w:ascii="Times New Roman" w:hAnsi="Times New Roman"/>
          <w:sz w:val="32"/>
          <w:szCs w:val="24"/>
          <w:lang w:val="en-US"/>
        </w:rPr>
        <w:br/>
        <w:t>tại tỉnh</w:t>
      </w:r>
      <w:r w:rsidRPr="00BD74C3">
        <w:rPr>
          <w:rFonts w:ascii="Times New Roman" w:hAnsi="Times New Roman"/>
          <w:sz w:val="32"/>
          <w:szCs w:val="24"/>
          <w:lang w:val="en-US"/>
        </w:rPr>
        <w:t xml:space="preserve"> Vĩnh Long</w:t>
      </w:r>
    </w:p>
    <w:p w:rsidR="005B1350" w:rsidRPr="00E433AB" w:rsidRDefault="005B1350" w:rsidP="00054651">
      <w:pPr>
        <w:pStyle w:val="Heading1"/>
        <w:jc w:val="right"/>
        <w:rPr>
          <w:rFonts w:ascii="Times New Roman" w:hAnsi="Times New Roman"/>
          <w:i/>
          <w:sz w:val="24"/>
          <w:szCs w:val="24"/>
          <w:lang w:val="en-US"/>
        </w:rPr>
      </w:pPr>
      <w:r w:rsidRPr="00E433AB">
        <w:rPr>
          <w:rFonts w:ascii="Times New Roman" w:hAnsi="Times New Roman"/>
          <w:i/>
          <w:sz w:val="24"/>
          <w:szCs w:val="24"/>
          <w:lang w:val="en-US"/>
        </w:rPr>
        <w:t>Ngô Đức Mậu</w:t>
      </w:r>
    </w:p>
    <w:p w:rsidR="005B1350" w:rsidRPr="004C7525" w:rsidRDefault="005B1350" w:rsidP="00054651">
      <w:pPr>
        <w:pStyle w:val="Heading1"/>
        <w:spacing w:before="0" w:after="0"/>
        <w:jc w:val="right"/>
        <w:rPr>
          <w:b w:val="0"/>
          <w:sz w:val="24"/>
          <w:szCs w:val="24"/>
          <w:lang w:val="en-US"/>
        </w:rPr>
      </w:pPr>
      <w:r w:rsidRPr="00586E11">
        <w:rPr>
          <w:rFonts w:ascii="Times New Roman" w:hAnsi="Times New Roman"/>
          <w:b w:val="0"/>
          <w:sz w:val="24"/>
          <w:szCs w:val="24"/>
          <w:lang w:val="en-US"/>
        </w:rPr>
        <w:t>Tổng cục Quản lý đất đai, Bộ Tài nguyên và Môi trường</w:t>
      </w:r>
    </w:p>
    <w:p w:rsidR="005B1350" w:rsidRDefault="005B1350" w:rsidP="00054651">
      <w:pPr>
        <w:pStyle w:val="BodyText"/>
        <w:jc w:val="both"/>
        <w:rPr>
          <w:lang w:val="en-US"/>
        </w:rPr>
      </w:pPr>
    </w:p>
    <w:p w:rsidR="005B1350" w:rsidRDefault="005B1350" w:rsidP="00054651">
      <w:pPr>
        <w:pStyle w:val="BodyText"/>
        <w:jc w:val="center"/>
        <w:rPr>
          <w:b/>
          <w:lang w:val="en-US"/>
        </w:rPr>
      </w:pPr>
      <w:r w:rsidRPr="00BD74C3">
        <w:rPr>
          <w:b/>
          <w:lang w:val="en-US"/>
        </w:rPr>
        <w:t>TÓM TẮT</w:t>
      </w:r>
    </w:p>
    <w:p w:rsidR="005B1350" w:rsidRDefault="005B1350" w:rsidP="00054651">
      <w:pPr>
        <w:pStyle w:val="BodyText"/>
        <w:rPr>
          <w:b/>
          <w:lang w:val="en-US"/>
        </w:rPr>
      </w:pPr>
    </w:p>
    <w:p w:rsidR="005B1350" w:rsidRDefault="005B1350" w:rsidP="00054651">
      <w:pPr>
        <w:pStyle w:val="BodyText"/>
        <w:ind w:left="567" w:right="569"/>
        <w:jc w:val="both"/>
        <w:rPr>
          <w:lang w:val="en-US"/>
        </w:rPr>
      </w:pPr>
      <w:r w:rsidRPr="00BD74C3">
        <w:rPr>
          <w:lang w:val="en-US"/>
        </w:rPr>
        <w:t xml:space="preserve">Xu hướng </w:t>
      </w:r>
      <w:r>
        <w:rPr>
          <w:lang w:val="en-US"/>
        </w:rPr>
        <w:t xml:space="preserve">xây dựng và triển khai </w:t>
      </w:r>
      <w:r w:rsidRPr="00BD74C3">
        <w:rPr>
          <w:lang w:val="en-US"/>
        </w:rPr>
        <w:t xml:space="preserve">hệ thống quản lý đất đai hiện đại </w:t>
      </w:r>
      <w:r>
        <w:rPr>
          <w:lang w:val="en-US"/>
        </w:rPr>
        <w:t xml:space="preserve">thông qua phát triển hệ thống thông tin đất đai để </w:t>
      </w:r>
      <w:r w:rsidRPr="00BD74C3">
        <w:rPr>
          <w:lang w:val="en-US"/>
        </w:rPr>
        <w:t>cải thiện việc tiếp cận thông tin và dịch vụ đất đai cho tất cả các bên liên quan</w:t>
      </w:r>
      <w:r>
        <w:rPr>
          <w:lang w:val="en-US"/>
        </w:rPr>
        <w:t xml:space="preserve"> là cần thiết và đang được thực hiện khắp nơi trên thế giới</w:t>
      </w:r>
      <w:r w:rsidRPr="00BD74C3">
        <w:rPr>
          <w:lang w:val="en-US"/>
        </w:rPr>
        <w:t xml:space="preserve">. Việt Nam không phải là ngoại lệ trong xu thế này. </w:t>
      </w:r>
      <w:r>
        <w:rPr>
          <w:lang w:val="en-US"/>
        </w:rPr>
        <w:t>Thời gian vừa qua, C</w:t>
      </w:r>
      <w:r w:rsidRPr="00BD74C3">
        <w:rPr>
          <w:lang w:val="en-US"/>
        </w:rPr>
        <w:t>hính phủ đã có những khoản đầu tư lớn để</w:t>
      </w:r>
      <w:r>
        <w:rPr>
          <w:lang w:val="en-US"/>
        </w:rPr>
        <w:t xml:space="preserve"> hoànt thành công tác đăng ký đất đai nhằm</w:t>
      </w:r>
      <w:r w:rsidRPr="00BD74C3">
        <w:rPr>
          <w:lang w:val="en-US"/>
        </w:rPr>
        <w:t xml:space="preserve"> phát triển hệ thống thông tin với sự hỗ trợ mạnh mẽ của các </w:t>
      </w:r>
      <w:r>
        <w:rPr>
          <w:lang w:val="en-US"/>
        </w:rPr>
        <w:t xml:space="preserve">nhà tài trợ thông qua các </w:t>
      </w:r>
      <w:r w:rsidRPr="00BD74C3">
        <w:rPr>
          <w:lang w:val="en-US"/>
        </w:rPr>
        <w:t xml:space="preserve">dự án đăng ký đất đai. </w:t>
      </w:r>
      <w:r>
        <w:rPr>
          <w:lang w:val="en-US"/>
        </w:rPr>
        <w:t>M</w:t>
      </w:r>
      <w:r w:rsidRPr="00BD74C3">
        <w:rPr>
          <w:lang w:val="en-US"/>
        </w:rPr>
        <w:t xml:space="preserve">ục đích là xây dựng một hệ thống quản lý đất đai minh bạch. </w:t>
      </w:r>
      <w:r>
        <w:rPr>
          <w:lang w:val="en-US"/>
        </w:rPr>
        <w:t>Do đó, h</w:t>
      </w:r>
      <w:r w:rsidRPr="00BD74C3">
        <w:rPr>
          <w:lang w:val="en-US"/>
        </w:rPr>
        <w:t xml:space="preserve">ầu hết các khoản đầu tư đã tập trung vào việc phát triển một hệ thống </w:t>
      </w:r>
      <w:r>
        <w:rPr>
          <w:lang w:val="en-US"/>
        </w:rPr>
        <w:t>quản lý đất đai với sự trợ giúp của công nghệ thông tin truyền thông</w:t>
      </w:r>
      <w:r w:rsidRPr="00BD74C3">
        <w:rPr>
          <w:lang w:val="en-US"/>
        </w:rPr>
        <w:t xml:space="preserve"> để cải thiện </w:t>
      </w:r>
      <w:r>
        <w:rPr>
          <w:lang w:val="en-US"/>
        </w:rPr>
        <w:t xml:space="preserve">việc </w:t>
      </w:r>
      <w:r w:rsidRPr="00BD74C3">
        <w:rPr>
          <w:lang w:val="en-US"/>
        </w:rPr>
        <w:t>cung cấp dịch vụ quản lý đất đai. Tuy nhiên, đã có một số yếu tố</w:t>
      </w:r>
      <w:r>
        <w:rPr>
          <w:lang w:val="en-US"/>
        </w:rPr>
        <w:t>, cả</w:t>
      </w:r>
      <w:r w:rsidRPr="00BD74C3">
        <w:rPr>
          <w:lang w:val="en-US"/>
        </w:rPr>
        <w:t xml:space="preserve"> kỹ thuật và phi kỹ thuật trở thành rào cản </w:t>
      </w:r>
      <w:r>
        <w:rPr>
          <w:lang w:val="en-US"/>
        </w:rPr>
        <w:t xml:space="preserve">để </w:t>
      </w:r>
      <w:r w:rsidRPr="00BD74C3">
        <w:rPr>
          <w:lang w:val="en-US"/>
        </w:rPr>
        <w:t xml:space="preserve">việc thực hiện hệ thống quản lý đất đai </w:t>
      </w:r>
      <w:r>
        <w:rPr>
          <w:lang w:val="en-US"/>
        </w:rPr>
        <w:t xml:space="preserve">được thực hiện </w:t>
      </w:r>
      <w:r w:rsidRPr="00BD74C3">
        <w:rPr>
          <w:lang w:val="en-US"/>
        </w:rPr>
        <w:t>hiệu quả trong nước. Bài báo này trình bày</w:t>
      </w:r>
      <w:r>
        <w:rPr>
          <w:lang w:val="en-US"/>
        </w:rPr>
        <w:t xml:space="preserve"> kết quả phân tích về</w:t>
      </w:r>
      <w:r w:rsidRPr="00BD74C3">
        <w:rPr>
          <w:lang w:val="en-US"/>
        </w:rPr>
        <w:t xml:space="preserve"> nhận thức của các bên liên quan ở cơ sở về đất đai và sự phát triển của hệ thống quản lý đất đai hiện đại ở Việt Nam. </w:t>
      </w:r>
      <w:r>
        <w:rPr>
          <w:lang w:val="en-US"/>
        </w:rPr>
        <w:t xml:space="preserve">Kết quả này được </w:t>
      </w:r>
      <w:r w:rsidRPr="00BD74C3">
        <w:rPr>
          <w:lang w:val="en-US"/>
        </w:rPr>
        <w:t xml:space="preserve">dựa trên </w:t>
      </w:r>
      <w:r>
        <w:rPr>
          <w:lang w:val="en-US"/>
        </w:rPr>
        <w:t xml:space="preserve">dữ liệu </w:t>
      </w:r>
      <w:r w:rsidRPr="00BD74C3">
        <w:rPr>
          <w:lang w:val="en-US"/>
        </w:rPr>
        <w:t>điều tra</w:t>
      </w:r>
      <w:r>
        <w:rPr>
          <w:lang w:val="en-US"/>
        </w:rPr>
        <w:t xml:space="preserve"> về</w:t>
      </w:r>
      <w:r w:rsidRPr="00BD74C3">
        <w:rPr>
          <w:lang w:val="en-US"/>
        </w:rPr>
        <w:t xml:space="preserve"> các </w:t>
      </w:r>
      <w:r>
        <w:rPr>
          <w:lang w:val="en-US"/>
        </w:rPr>
        <w:t xml:space="preserve">khó khăn, thách thức </w:t>
      </w:r>
      <w:r w:rsidRPr="00BD74C3">
        <w:rPr>
          <w:lang w:val="en-US"/>
        </w:rPr>
        <w:t xml:space="preserve">đối với việc phát triển cơ sở dữ liệu </w:t>
      </w:r>
      <w:r>
        <w:rPr>
          <w:lang w:val="en-US"/>
        </w:rPr>
        <w:t xml:space="preserve">đất đai </w:t>
      </w:r>
      <w:r w:rsidRPr="00BD74C3">
        <w:rPr>
          <w:lang w:val="en-US"/>
        </w:rPr>
        <w:t>nhằm tăng cường khả năng tiếp cận thông tin đất đai của tất cả các bên liên quan ở Việt Nam.</w:t>
      </w:r>
    </w:p>
    <w:p w:rsidR="005B1350" w:rsidRDefault="005B1350" w:rsidP="00054651">
      <w:pPr>
        <w:pStyle w:val="BodyText"/>
        <w:jc w:val="both"/>
        <w:rPr>
          <w:lang w:val="en-US"/>
        </w:rPr>
      </w:pPr>
    </w:p>
    <w:p w:rsidR="005B1350" w:rsidRPr="00BD74C3" w:rsidRDefault="005B1350" w:rsidP="00054651">
      <w:pPr>
        <w:pStyle w:val="BodyText"/>
        <w:ind w:firstLine="567"/>
        <w:jc w:val="both"/>
        <w:rPr>
          <w:lang w:val="en-US"/>
        </w:rPr>
      </w:pPr>
      <w:r w:rsidRPr="00BD74C3">
        <w:rPr>
          <w:b/>
          <w:lang w:val="en-US"/>
        </w:rPr>
        <w:t>Từ khoá:</w:t>
      </w:r>
      <w:r>
        <w:rPr>
          <w:lang w:val="en-US"/>
        </w:rPr>
        <w:t xml:space="preserve"> tiếp cận đất đai</w:t>
      </w:r>
      <w:r w:rsidRPr="000679EB">
        <w:rPr>
          <w:lang w:val="en-US"/>
        </w:rPr>
        <w:t>;</w:t>
      </w:r>
      <w:r>
        <w:rPr>
          <w:lang w:val="en-US"/>
        </w:rPr>
        <w:t xml:space="preserve"> chính phủ điện tử</w:t>
      </w:r>
      <w:r w:rsidRPr="000679EB">
        <w:rPr>
          <w:lang w:val="en-US"/>
        </w:rPr>
        <w:t>;</w:t>
      </w:r>
      <w:r>
        <w:rPr>
          <w:lang w:val="en-US"/>
        </w:rPr>
        <w:t xml:space="preserve"> quản lý đất đai; nhận thức của cộng đồng</w:t>
      </w:r>
    </w:p>
    <w:p w:rsidR="005B1350" w:rsidRDefault="005B1350" w:rsidP="00054651">
      <w:pPr>
        <w:pStyle w:val="BodyText"/>
        <w:jc w:val="both"/>
        <w:rPr>
          <w:lang w:val="en-US"/>
        </w:rPr>
      </w:pPr>
    </w:p>
    <w:p w:rsidR="005B1350" w:rsidRDefault="005B1350" w:rsidP="00054651">
      <w:pPr>
        <w:pStyle w:val="BodyText"/>
        <w:jc w:val="both"/>
        <w:rPr>
          <w:lang w:val="en-US"/>
        </w:rPr>
      </w:pPr>
    </w:p>
    <w:p w:rsidR="005B1350" w:rsidRPr="00266CE2" w:rsidRDefault="005B1350" w:rsidP="00054651">
      <w:pPr>
        <w:pStyle w:val="BodyText"/>
        <w:numPr>
          <w:ilvl w:val="0"/>
          <w:numId w:val="1"/>
        </w:numPr>
        <w:contextualSpacing/>
        <w:rPr>
          <w:b/>
          <w:sz w:val="26"/>
          <w:szCs w:val="26"/>
          <w:lang w:val="en-US"/>
        </w:rPr>
      </w:pPr>
      <w:r w:rsidRPr="00266CE2">
        <w:rPr>
          <w:b/>
          <w:sz w:val="26"/>
          <w:szCs w:val="26"/>
          <w:lang w:val="en-US"/>
        </w:rPr>
        <w:t>GIỚI THIỆU</w:t>
      </w:r>
    </w:p>
    <w:p w:rsidR="005B1350" w:rsidRPr="00266CE2" w:rsidRDefault="005B1350" w:rsidP="00054651">
      <w:pPr>
        <w:pStyle w:val="BodyText"/>
        <w:contextualSpacing/>
        <w:jc w:val="both"/>
        <w:rPr>
          <w:sz w:val="26"/>
          <w:szCs w:val="26"/>
        </w:rPr>
      </w:pPr>
    </w:p>
    <w:p w:rsidR="005B1350" w:rsidRPr="00266CE2" w:rsidRDefault="005B1350" w:rsidP="00054651">
      <w:pPr>
        <w:pStyle w:val="BodyText"/>
        <w:contextualSpacing/>
        <w:jc w:val="both"/>
        <w:rPr>
          <w:sz w:val="26"/>
          <w:szCs w:val="26"/>
        </w:rPr>
      </w:pPr>
      <w:r w:rsidRPr="00266CE2">
        <w:rPr>
          <w:sz w:val="26"/>
          <w:szCs w:val="26"/>
        </w:rPr>
        <w:t>Thông tin về đất đai, mở rộng ra là dữ liệu không gian đã góp phần vào quan trọng vào nhiều mục đích và mục tiêu chiến lược phát triển của chính phủ các nước. Các mục đích cụ thể gồm quản lý tài nguyên thiên nhiên, giám sát môi trường, kiểm soát sử dụng đất, thích ứng với biến đổi khí hậu và hỗ trợ phòng chống rủi ro thiên tai phục vụ phát triển kinh tế xã hội. Dữ liệu không gian và thông tin đất đai đóng vai trò rất quan trọng không chỉ với chính phủ trong việc quản lý đất đai và trợ giúp quyết định hành chính, mà còn có vai trò quan trọng với các chủ sử dụng</w:t>
      </w:r>
      <w:r w:rsidRPr="00266CE2">
        <w:rPr>
          <w:rStyle w:val="FootnoteReference"/>
          <w:sz w:val="26"/>
          <w:szCs w:val="26"/>
        </w:rPr>
        <w:footnoteReference w:id="1"/>
      </w:r>
      <w:r w:rsidRPr="00266CE2">
        <w:rPr>
          <w:sz w:val="26"/>
          <w:szCs w:val="26"/>
        </w:rPr>
        <w:t xml:space="preserve"> đất trong việc đưa ra các quyết định liên quan đến đất đai của họ. Vai trò quan trọng của thông tin không gian trong hỗ trợ việc ra quyết định về các vấn đề địa phương, quốc gia, khu vực và toàn cầu đã được công nhận hơn hai thập kỷ trước tại Hội nghị Thượng đỉnh Rio de Janeiro 1992. Đây vẫn là trọng tâm trong các cuộc thảo luận về các mục tiêu phát triển bền vững của Liên hợp quốc. Bên cạnh đó, thông tin về các thửa đất thường được mô tả như là một yếu tố trình bày về tính chất pháp lý, kinh tế, phát triển của thửa đất đó để giúp mọi người có đầy đủ thông tin về nguồn lực đất đai trong phát triển. Điều này cho phép người dùng hiểu rõ hơn về nguồn lực đất đai khi xây dựng và quản lý thực hiện các kế hoạch phát triển có liên quan. Điều này cũng giúp bảo vệ các khu vực cần thiết thông qua việc phân bổ hay giới hạn các quyền đối với người sử dụng đất cũng như thiết lập trách nhiệm của các bên liên </w:t>
      </w:r>
      <w:r w:rsidRPr="00266CE2">
        <w:rPr>
          <w:sz w:val="26"/>
          <w:szCs w:val="26"/>
        </w:rPr>
        <w:lastRenderedPageBreak/>
        <w:t xml:space="preserve">quan. Việc sử dụng dữ liệu không gian một cách khoa học cho phép đưa ra quyết định tối ưu hóa việc sử dụng đất và trở thành một trong những nguyên tắc chính cho quản lý và phát triển bền vững </w:t>
      </w:r>
      <w:r w:rsidRPr="00266CE2">
        <w:rPr>
          <w:noProof/>
          <w:sz w:val="26"/>
          <w:szCs w:val="26"/>
        </w:rPr>
        <w:t>(Muggenhuber, 2003, Steudler và Rajabifard, 2012)</w:t>
      </w:r>
      <w:r w:rsidRPr="00266CE2">
        <w:rPr>
          <w:sz w:val="26"/>
          <w:szCs w:val="26"/>
        </w:rPr>
        <w:t>.</w:t>
      </w:r>
    </w:p>
    <w:p w:rsidR="005B1350" w:rsidRPr="00266CE2" w:rsidRDefault="005B1350" w:rsidP="00054651">
      <w:pPr>
        <w:pStyle w:val="BodyText"/>
        <w:contextualSpacing/>
        <w:jc w:val="both"/>
        <w:rPr>
          <w:sz w:val="26"/>
          <w:szCs w:val="26"/>
        </w:rPr>
      </w:pPr>
    </w:p>
    <w:p w:rsidR="005B1350" w:rsidRPr="00266CE2" w:rsidRDefault="005B1350" w:rsidP="00054651">
      <w:pPr>
        <w:pStyle w:val="BodyText"/>
        <w:contextualSpacing/>
        <w:jc w:val="both"/>
        <w:rPr>
          <w:sz w:val="26"/>
          <w:szCs w:val="26"/>
        </w:rPr>
      </w:pPr>
      <w:r w:rsidRPr="00266CE2">
        <w:rPr>
          <w:sz w:val="26"/>
          <w:szCs w:val="26"/>
        </w:rPr>
        <w:t>Hơn nữa, đảm bảo quyền sử dụng đất cùng với việc tăng cường tiếp cận thông tin đất đai đã được xác định là yếu tố quan trọng để giảm nghèo và đáp ứng các mục tiêu phát triển bền vững hơn</w:t>
      </w:r>
      <w:r>
        <w:rPr>
          <w:sz w:val="26"/>
          <w:szCs w:val="26"/>
        </w:rPr>
        <w:t xml:space="preserve"> </w:t>
      </w:r>
      <w:r>
        <w:rPr>
          <w:noProof/>
          <w:sz w:val="26"/>
          <w:szCs w:val="26"/>
        </w:rPr>
        <w:t>(FAO, 2012, Maxwell và Wiebe, 1999, Quizon, 2013, Widman, 2014)</w:t>
      </w:r>
      <w:r w:rsidRPr="00266CE2">
        <w:rPr>
          <w:sz w:val="26"/>
          <w:szCs w:val="26"/>
        </w:rPr>
        <w:t>. Hướng dẫn quản lý quyền sử dụng đất, thuỷ sản và rừng có trách nhiệm trong bối cảnh an ninh lương thực quốc gia của FAO (2012) đã kêu gọi các quốc gia công nhận, ghi nhận và tôn trọng tất cả các quyền hợp pháp đối với đất đai của người sử dụng đất cũng như cách thức ghi nhận quyền sử dụng đất trong hệ thống quản lý đất đai chính thống. Mặc dù vậy, vẫn có khoảng 80% toàn bộ quyền sử dụng đất trên thế giới chưa được ghi nhận, đăng ký trong hệ thống quản lý đất đai chính thức.</w:t>
      </w:r>
    </w:p>
    <w:p w:rsidR="005B1350" w:rsidRPr="00266CE2" w:rsidRDefault="005B1350" w:rsidP="00054651">
      <w:pPr>
        <w:shd w:val="clear" w:color="auto" w:fill="FFFFFF"/>
        <w:rPr>
          <w:rFonts w:ascii="Arial" w:hAnsi="Arial" w:cs="Arial"/>
          <w:color w:val="777777"/>
          <w:sz w:val="26"/>
          <w:szCs w:val="26"/>
        </w:rPr>
      </w:pPr>
    </w:p>
    <w:p w:rsidR="005B1350" w:rsidRPr="00266CE2" w:rsidRDefault="005B1350" w:rsidP="00054651">
      <w:pPr>
        <w:pStyle w:val="BodyText"/>
        <w:contextualSpacing/>
        <w:jc w:val="both"/>
        <w:rPr>
          <w:sz w:val="26"/>
          <w:szCs w:val="26"/>
        </w:rPr>
      </w:pPr>
      <w:r w:rsidRPr="00266CE2">
        <w:rPr>
          <w:sz w:val="26"/>
          <w:szCs w:val="26"/>
        </w:rPr>
        <w:t xml:space="preserve">Gần đây, tại Việt Nam, thông tin đất đai, bao gồm thông tin về quyền sử dụng đất và thông tin liên quan đã được xem xét và công nhận như là một chỉ số quan trọng trong đánh giá năng lực cạnh tranh cấp tỉnh – chỉ số chỉ ra mức độ thu hút đầu tư ở cấp tỉnh tại Việt Nam </w:t>
      </w:r>
      <w:r w:rsidRPr="00266CE2">
        <w:rPr>
          <w:noProof/>
          <w:sz w:val="26"/>
          <w:szCs w:val="26"/>
        </w:rPr>
        <w:t>(Malesky</w:t>
      </w:r>
      <w:r w:rsidRPr="00266CE2">
        <w:rPr>
          <w:i/>
          <w:noProof/>
          <w:sz w:val="26"/>
          <w:szCs w:val="26"/>
        </w:rPr>
        <w:t xml:space="preserve"> và nnk.</w:t>
      </w:r>
      <w:r w:rsidRPr="00266CE2">
        <w:rPr>
          <w:noProof/>
          <w:sz w:val="26"/>
          <w:szCs w:val="26"/>
        </w:rPr>
        <w:t>, 2015)</w:t>
      </w:r>
      <w:r w:rsidRPr="00266CE2">
        <w:rPr>
          <w:sz w:val="26"/>
          <w:szCs w:val="26"/>
        </w:rPr>
        <w:t xml:space="preserve">. Theo </w:t>
      </w:r>
      <w:r w:rsidRPr="00266CE2">
        <w:rPr>
          <w:noProof/>
          <w:sz w:val="26"/>
          <w:szCs w:val="26"/>
        </w:rPr>
        <w:t>Trương Thiên Thu và Perera (2011)</w:t>
      </w:r>
      <w:r w:rsidRPr="00266CE2">
        <w:rPr>
          <w:sz w:val="26"/>
          <w:szCs w:val="26"/>
        </w:rPr>
        <w:t>, việc tiếp cận đất đai là một vấn đề nhạy cảm có thể gây trở ngại cho đầu tư nước ngoài hay nhà đầu tư tư nhân trong nước bởi việc sử dụng ổn định đất đai là một trong những mối quan tâm hàng đầu mà hầu hết các doanh nghiệp đa quốc gia phải xem xét khi đầu tư vào lãnh thổ của một quốc gia khác, đặc biệt ở một nền kinh tế đang chuyển đổi như Việt Nam hiện nay.</w:t>
      </w:r>
    </w:p>
    <w:p w:rsidR="005B1350" w:rsidRPr="00266CE2" w:rsidRDefault="005B1350" w:rsidP="00054651">
      <w:pPr>
        <w:pStyle w:val="BodyText"/>
        <w:contextualSpacing/>
        <w:jc w:val="both"/>
        <w:rPr>
          <w:rFonts w:cs="Arial"/>
          <w:sz w:val="26"/>
          <w:szCs w:val="26"/>
        </w:rPr>
      </w:pPr>
    </w:p>
    <w:p w:rsidR="005B1350" w:rsidRPr="00266CE2" w:rsidRDefault="005B1350" w:rsidP="00054651">
      <w:pPr>
        <w:pStyle w:val="BodyText"/>
        <w:contextualSpacing/>
        <w:jc w:val="both"/>
        <w:rPr>
          <w:rFonts w:cs="Arial"/>
          <w:sz w:val="26"/>
          <w:szCs w:val="26"/>
        </w:rPr>
      </w:pPr>
      <w:r w:rsidRPr="00266CE2">
        <w:rPr>
          <w:rFonts w:cs="Arial"/>
          <w:sz w:val="26"/>
          <w:szCs w:val="26"/>
        </w:rPr>
        <w:t>Bên cạnh đó, nhận thức và sự tham gia của các bên liên quan trong quá trình sử dụng và quản lý đất đai đóng vai trò quan trọng để Chính phủ cải thiện công tác quản lý nhà nước và cung cấp các dịch vụ công về đất đai. Một hệ thống quản lý đất đai minh bạch đòi hỏi sự tham gia tích cực của cá nhân, hộ gia đình và các tổ chức có liên quan trong tăng cường tiếp cận thông tin đất đai. Tại cấp cơ sở, nhận thức và sự tham gia của người dân – đóng vai trò như tập hợp người sử dụng hệ thống lớn nhất, đóng góp rất lớn vào việc phát triển, thực hiện và duy trì hệ thống quản lý đất đai hiện đại ở mọi quốc gia.</w:t>
      </w:r>
    </w:p>
    <w:p w:rsidR="005B1350" w:rsidRPr="00266CE2" w:rsidRDefault="005B1350" w:rsidP="00054651">
      <w:pPr>
        <w:pStyle w:val="BodyText"/>
        <w:contextualSpacing/>
        <w:jc w:val="both"/>
        <w:rPr>
          <w:rFonts w:cs="Arial"/>
          <w:sz w:val="26"/>
          <w:szCs w:val="26"/>
        </w:rPr>
      </w:pPr>
    </w:p>
    <w:p w:rsidR="005B1350" w:rsidRPr="00266CE2" w:rsidRDefault="005B1350" w:rsidP="00054651">
      <w:pPr>
        <w:pStyle w:val="BodyText"/>
        <w:contextualSpacing/>
        <w:jc w:val="both"/>
        <w:rPr>
          <w:rFonts w:cs="Arial"/>
          <w:sz w:val="26"/>
          <w:szCs w:val="26"/>
        </w:rPr>
      </w:pPr>
      <w:r w:rsidRPr="00266CE2">
        <w:rPr>
          <w:rFonts w:cs="Arial"/>
          <w:sz w:val="26"/>
          <w:szCs w:val="26"/>
        </w:rPr>
        <w:t xml:space="preserve">Kể từ cuối thập kỷ 90 của thế kỷ trước, Việt Nam đã đầu tư tương đối lớn nhằm mục tiêu hoàn thành việc đăng ký và cấp giấy chứng nhận quyền sử dụng đất với sự hỗ trợ mạnh mẽ của các nhà tài trợ quốc tế như Chính phủ Úc, Thụy Điển, Ngân hàng Phát triển Châu Á và Ngân hàng Thế giới với mục tiêu hướng tới hệ thống quản lý đất đai hiện đại </w:t>
      </w:r>
      <w:r w:rsidRPr="00266CE2">
        <w:rPr>
          <w:rFonts w:cs="Arial"/>
          <w:noProof/>
          <w:sz w:val="26"/>
          <w:szCs w:val="26"/>
        </w:rPr>
        <w:t>(NHTG, 2010)</w:t>
      </w:r>
      <w:r w:rsidRPr="00266CE2">
        <w:rPr>
          <w:rFonts w:cs="Arial"/>
          <w:sz w:val="26"/>
          <w:szCs w:val="26"/>
        </w:rPr>
        <w:t xml:space="preserve">. Một hệ thống minh bạch hiện đại sẽ góp phần quản lý tốt hơn và tăng cường lòng tin của người dân trong thực hiện dịch vụ công và hoạt động liên quan đến đất đai. Sự đổi mới về thể chế đã được cải thiện thông qua tổ chức lại các tổ chức hành chính nhà nước và các đơn vị cung cấp dịch vụ công cùng với việc thiết lập một hệ thống thống nhất quản lý đất đai ở tất cả các cấp trong thập kỷ qua </w:t>
      </w:r>
      <w:r w:rsidRPr="00266CE2">
        <w:rPr>
          <w:rFonts w:cs="Arial"/>
          <w:noProof/>
          <w:sz w:val="26"/>
          <w:szCs w:val="26"/>
        </w:rPr>
        <w:t>(NHTG, 2009, Quốc hội Việt Nam, 2013b)</w:t>
      </w:r>
      <w:r w:rsidRPr="00266CE2">
        <w:rPr>
          <w:rFonts w:cs="Arial"/>
          <w:sz w:val="26"/>
          <w:szCs w:val="26"/>
        </w:rPr>
        <w:t xml:space="preserve">. Tuy nhiên, vẫn còn những khoảng cách đáng kể giữa chính sách đất đai và việc triển khai thực tế nhằm đảm bảo việc tiếp cận đất đai của các bên liên quan. Ví dụ, các yêu cầu chuẩn văn phòng đăng ký đất đai dù đã được xây dựng nhưng chưa được thực hiện triệt để, trong khi quy trình thủ tục về đăng ký đất đai vẫn được đánh giá là còn phức tạp, thiếu minh bạch có thể dẫn đến tham nhũng, hối lộ trong lĩnh vực đất đai </w:t>
      </w:r>
      <w:r w:rsidRPr="00266CE2">
        <w:rPr>
          <w:rFonts w:cs="Arial"/>
          <w:noProof/>
          <w:sz w:val="26"/>
          <w:szCs w:val="26"/>
        </w:rPr>
        <w:t>(ĐSQ Đan Mạch</w:t>
      </w:r>
      <w:r w:rsidRPr="00266CE2">
        <w:rPr>
          <w:rFonts w:cs="Arial"/>
          <w:i/>
          <w:noProof/>
          <w:sz w:val="26"/>
          <w:szCs w:val="26"/>
        </w:rPr>
        <w:t xml:space="preserve"> và nnk.</w:t>
      </w:r>
      <w:r w:rsidRPr="00266CE2">
        <w:rPr>
          <w:rFonts w:cs="Arial"/>
          <w:noProof/>
          <w:sz w:val="26"/>
          <w:szCs w:val="26"/>
        </w:rPr>
        <w:t>, 2011)</w:t>
      </w:r>
      <w:r w:rsidRPr="00266CE2">
        <w:rPr>
          <w:rFonts w:cs="Arial"/>
          <w:sz w:val="26"/>
          <w:szCs w:val="26"/>
        </w:rPr>
        <w:t>.</w:t>
      </w:r>
    </w:p>
    <w:p w:rsidR="005B1350" w:rsidRPr="00266CE2" w:rsidRDefault="005B1350" w:rsidP="00054651">
      <w:pPr>
        <w:pStyle w:val="BodyText"/>
        <w:contextualSpacing/>
        <w:jc w:val="both"/>
        <w:rPr>
          <w:sz w:val="26"/>
          <w:szCs w:val="26"/>
        </w:rPr>
      </w:pPr>
    </w:p>
    <w:p w:rsidR="005B1350" w:rsidRPr="00266CE2" w:rsidRDefault="005B1350" w:rsidP="00054651">
      <w:pPr>
        <w:pStyle w:val="BodyText"/>
        <w:contextualSpacing/>
        <w:jc w:val="both"/>
        <w:rPr>
          <w:sz w:val="26"/>
          <w:szCs w:val="26"/>
        </w:rPr>
      </w:pPr>
      <w:r w:rsidRPr="00266CE2">
        <w:rPr>
          <w:sz w:val="26"/>
          <w:szCs w:val="26"/>
        </w:rPr>
        <w:lastRenderedPageBreak/>
        <w:t xml:space="preserve">Mỗi năm, ngân sách chi khoảng 60 triệu đô la đã được đầu tư vào đo đạc lập bản đồ địa chính, bao gồm cả chi phí mua sắm thiết bị đo đạc </w:t>
      </w:r>
      <w:r w:rsidRPr="00266CE2">
        <w:rPr>
          <w:noProof/>
          <w:sz w:val="26"/>
          <w:szCs w:val="26"/>
        </w:rPr>
        <w:t>(NHTG, 2011)</w:t>
      </w:r>
      <w:r w:rsidRPr="00266CE2">
        <w:rPr>
          <w:sz w:val="26"/>
          <w:szCs w:val="26"/>
        </w:rPr>
        <w:t xml:space="preserve">. Tuy nhiên, vẫn còn nhiều hạn chế trong lĩnh vực đất đai ở Việt Nam liên quan đến tính hiệu quả của tăng cường tiếp cận thông tin đất đai của các đối tượng liên quan. Ngành đất đai vẫn nằm trong nhóm ba lĩnh vực được nhận diện tham nhũng hàng đầu cả nước trong vài năm gần đây </w:t>
      </w:r>
      <w:r w:rsidRPr="00266CE2">
        <w:rPr>
          <w:noProof/>
          <w:sz w:val="26"/>
          <w:szCs w:val="26"/>
        </w:rPr>
        <w:t>(Martini, 2012, DEPOCEN</w:t>
      </w:r>
      <w:r w:rsidRPr="00266CE2">
        <w:rPr>
          <w:i/>
          <w:noProof/>
          <w:sz w:val="26"/>
          <w:szCs w:val="26"/>
        </w:rPr>
        <w:t xml:space="preserve"> và nnk.</w:t>
      </w:r>
      <w:r w:rsidRPr="00266CE2">
        <w:rPr>
          <w:noProof/>
          <w:sz w:val="26"/>
          <w:szCs w:val="26"/>
        </w:rPr>
        <w:t>, 2014, NHTG, 2010, NHTG và Thanh tra Chính phủ, 2013)</w:t>
      </w:r>
      <w:r w:rsidRPr="00266CE2">
        <w:rPr>
          <w:sz w:val="26"/>
          <w:szCs w:val="26"/>
        </w:rPr>
        <w:t>. Dịch vụ quản lý đất đai và khả năng tiếp cận thông tin đất đai của người sử dụng đất vẫn cần phải cải thiện cả về vấn đề kỹ thuật và phi kỹ thuật.</w:t>
      </w:r>
    </w:p>
    <w:p w:rsidR="005B1350" w:rsidRPr="00266CE2" w:rsidRDefault="005B1350" w:rsidP="00054651">
      <w:pPr>
        <w:pStyle w:val="BodyText"/>
        <w:contextualSpacing/>
        <w:jc w:val="both"/>
        <w:rPr>
          <w:sz w:val="26"/>
          <w:szCs w:val="26"/>
        </w:rPr>
      </w:pPr>
    </w:p>
    <w:p w:rsidR="005B1350" w:rsidRPr="006C558C" w:rsidRDefault="005B1350" w:rsidP="00054651">
      <w:pPr>
        <w:pStyle w:val="BodyText"/>
        <w:contextualSpacing/>
        <w:jc w:val="both"/>
      </w:pPr>
      <w:r w:rsidRPr="006C558C">
        <w:t xml:space="preserve">Bài báo này tóm tắt kết quả </w:t>
      </w:r>
      <w:r>
        <w:t xml:space="preserve">phân tích số liệu </w:t>
      </w:r>
      <w:r w:rsidRPr="006C558C">
        <w:t>điều tra khảo sát được thực hiện độc lập tại tỉnh Vĩnh Long nhằm đánh giá nhu cầu tiếp cận thông tin đất đai của một nhóm người sử dụng hệ thống thông tin đất đai - người sử dụng đất ở cơ sở. Việc phân tích được tiến hành dựa trên các phương pháp kết hợp định tính, định lượng và thông qua một trường hợp cụ thể. Dữ liệu được thu thập thông qua 3 cuộc họp thảo luận nhóm có lựa chọn và 122 bảng hỏi thu lại được từ người sử dụng đất. Trong quá trình phỏng vấn và thu thập dữ liệu, danh tính, địa chỉ của người tham gia không được thu thập.</w:t>
      </w:r>
    </w:p>
    <w:p w:rsidR="005B1350" w:rsidRPr="006C558C" w:rsidRDefault="005B1350" w:rsidP="00054651">
      <w:pPr>
        <w:pStyle w:val="BodyText"/>
        <w:contextualSpacing/>
        <w:jc w:val="both"/>
      </w:pPr>
    </w:p>
    <w:p w:rsidR="005B1350" w:rsidRPr="00266CE2" w:rsidRDefault="005B1350" w:rsidP="00054651">
      <w:pPr>
        <w:pStyle w:val="BodyText"/>
        <w:numPr>
          <w:ilvl w:val="0"/>
          <w:numId w:val="1"/>
        </w:numPr>
        <w:contextualSpacing/>
        <w:rPr>
          <w:b/>
          <w:sz w:val="26"/>
          <w:szCs w:val="26"/>
        </w:rPr>
      </w:pPr>
      <w:r w:rsidRPr="00266CE2">
        <w:rPr>
          <w:b/>
          <w:sz w:val="26"/>
          <w:szCs w:val="26"/>
        </w:rPr>
        <w:t>QUẢN LÝ ĐẤT ĐAI VIỆT NAM</w:t>
      </w:r>
    </w:p>
    <w:p w:rsidR="005B1350" w:rsidRPr="00266CE2" w:rsidRDefault="005B1350" w:rsidP="00054651">
      <w:pPr>
        <w:pStyle w:val="BodyText"/>
        <w:ind w:left="360"/>
        <w:contextualSpacing/>
        <w:rPr>
          <w:b/>
          <w:sz w:val="26"/>
          <w:szCs w:val="26"/>
        </w:rPr>
      </w:pPr>
    </w:p>
    <w:p w:rsidR="005B1350" w:rsidRPr="00266CE2" w:rsidRDefault="005B1350" w:rsidP="00054651">
      <w:pPr>
        <w:pStyle w:val="BodyText"/>
        <w:numPr>
          <w:ilvl w:val="1"/>
          <w:numId w:val="1"/>
        </w:numPr>
        <w:contextualSpacing/>
        <w:rPr>
          <w:b/>
          <w:sz w:val="26"/>
          <w:szCs w:val="26"/>
        </w:rPr>
      </w:pPr>
      <w:r w:rsidRPr="00266CE2">
        <w:rPr>
          <w:b/>
          <w:sz w:val="26"/>
          <w:szCs w:val="26"/>
        </w:rPr>
        <w:t>Quyền sử dụng đất ở Việt Nam</w:t>
      </w:r>
    </w:p>
    <w:p w:rsidR="005B1350" w:rsidRPr="00266CE2" w:rsidRDefault="005B1350" w:rsidP="00054651">
      <w:pPr>
        <w:pStyle w:val="BodyText"/>
        <w:ind w:left="420"/>
        <w:contextualSpacing/>
        <w:rPr>
          <w:b/>
          <w:sz w:val="26"/>
          <w:szCs w:val="26"/>
        </w:rPr>
      </w:pPr>
    </w:p>
    <w:p w:rsidR="005B1350" w:rsidRPr="00266CE2" w:rsidRDefault="005B1350" w:rsidP="00054651">
      <w:pPr>
        <w:pStyle w:val="BodyText"/>
        <w:contextualSpacing/>
        <w:jc w:val="both"/>
        <w:rPr>
          <w:sz w:val="26"/>
          <w:szCs w:val="26"/>
        </w:rPr>
      </w:pPr>
      <w:r w:rsidRPr="00266CE2">
        <w:rPr>
          <w:sz w:val="26"/>
          <w:szCs w:val="26"/>
        </w:rPr>
        <w:t xml:space="preserve">Hiến pháp Việt Nam quy định “đất đai thuộc sở hữu toàn dân, do Nhà nước thống nhất quản lý” </w:t>
      </w:r>
      <w:r w:rsidRPr="00266CE2">
        <w:rPr>
          <w:noProof/>
          <w:sz w:val="26"/>
          <w:szCs w:val="26"/>
        </w:rPr>
        <w:t>(Quốc hội Việt Nam, 2013a)</w:t>
      </w:r>
      <w:r w:rsidRPr="00266CE2">
        <w:rPr>
          <w:sz w:val="26"/>
          <w:szCs w:val="26"/>
        </w:rPr>
        <w:t xml:space="preserve">. Đất được giao cho cá nhân, hộ gia đình, tổ chức cũng như cộng đồng dân cư (dưới đây gọi là người sử dụng đất) sử dụng ổn định. Nhà nước công nhận và bảo hộ các quyền của người sử dụng đất </w:t>
      </w:r>
      <w:r w:rsidRPr="00266CE2">
        <w:rPr>
          <w:noProof/>
          <w:sz w:val="26"/>
          <w:szCs w:val="26"/>
        </w:rPr>
        <w:t>(Quốc hội Việt Nam, 2013b)</w:t>
      </w:r>
      <w:r w:rsidRPr="00266CE2">
        <w:rPr>
          <w:sz w:val="26"/>
          <w:szCs w:val="26"/>
        </w:rPr>
        <w:t>. Trong bối cảnh đất đai là mt loại tài sản đặc biệt, không có sự khác nhau đáng kể giữa quyền sử dụng đất ở Việt Nam với quyền sở hữu tư nhân về đất đai. Theo một cách khác, hình thức công nhận quyền sử dụng đất ở Việt Nam đảm bảo tính toàn vẹn về quyền của các chủ sử dụng đất.</w:t>
      </w:r>
    </w:p>
    <w:p w:rsidR="005B1350" w:rsidRPr="00266CE2" w:rsidRDefault="005B1350" w:rsidP="00054651">
      <w:pPr>
        <w:pStyle w:val="BodyText"/>
        <w:contextualSpacing/>
        <w:jc w:val="both"/>
        <w:rPr>
          <w:sz w:val="26"/>
          <w:szCs w:val="26"/>
        </w:rPr>
      </w:pPr>
    </w:p>
    <w:p w:rsidR="005B1350" w:rsidRPr="00266CE2" w:rsidRDefault="005B1350" w:rsidP="00054651">
      <w:pPr>
        <w:pStyle w:val="BodyText"/>
        <w:contextualSpacing/>
        <w:jc w:val="both"/>
        <w:rPr>
          <w:sz w:val="26"/>
          <w:szCs w:val="26"/>
        </w:rPr>
      </w:pPr>
      <w:r w:rsidRPr="00266CE2">
        <w:rPr>
          <w:sz w:val="26"/>
          <w:szCs w:val="26"/>
        </w:rPr>
        <w:t xml:space="preserve">Giấy chứng nhận quyền sử dụng đất, quyền sở hữu nhà ở và tài sản khác gắn liên với đất (dưới đây viết tắt là GCNQSDĐ) là chứng thư pháp lý công nhận quyền sử dụng đất của chủ sử dụng đất. Trong trường hợp không có sự hạn chế, GCNQSDĐ cho phép người sử dụng có thể sử dụng đất nhưng không được sở hữu đất. Quyền sử dụng đất cho phép người sử dụng đất trao đổi, chuyển nhượng, thừa kế, thế chấp, thuê, cho thuê lại, thừa kế, tặng cho quyền sử dụng đất, bảo lãnh, góp vốn bằng quyền sử dụng đất </w:t>
      </w:r>
      <w:r w:rsidRPr="00266CE2">
        <w:rPr>
          <w:noProof/>
          <w:sz w:val="26"/>
          <w:szCs w:val="26"/>
        </w:rPr>
        <w:t>(Quốc hội Việt Nam, 2013b)</w:t>
      </w:r>
      <w:r w:rsidRPr="00266CE2">
        <w:rPr>
          <w:sz w:val="26"/>
          <w:szCs w:val="26"/>
        </w:rPr>
        <w:t>.</w:t>
      </w:r>
    </w:p>
    <w:p w:rsidR="005B1350" w:rsidRPr="00266CE2" w:rsidRDefault="005B1350" w:rsidP="00054651">
      <w:pPr>
        <w:pStyle w:val="BodyText"/>
        <w:contextualSpacing/>
        <w:jc w:val="both"/>
        <w:rPr>
          <w:sz w:val="26"/>
          <w:szCs w:val="26"/>
        </w:rPr>
      </w:pPr>
    </w:p>
    <w:p w:rsidR="005B1350" w:rsidRPr="00266CE2" w:rsidRDefault="005B1350" w:rsidP="00054651">
      <w:pPr>
        <w:pStyle w:val="BodyText"/>
        <w:contextualSpacing/>
        <w:jc w:val="both"/>
        <w:rPr>
          <w:sz w:val="26"/>
          <w:szCs w:val="26"/>
        </w:rPr>
      </w:pPr>
      <w:r w:rsidRPr="00266CE2">
        <w:rPr>
          <w:sz w:val="26"/>
          <w:szCs w:val="26"/>
        </w:rPr>
        <w:t>Theo số liệu của Tổng cục Quản lý đất đai, đến năm 2016, khoảng 90% diện tích đất nông nghiệp, 75% diện tích đất ở đô thị, 90% diện tích đất nông thôn và 70% diện tích đất lâm nghiệp đã được Cấp GCNQSDĐ. Tuy nhiên, hệ thống hồ sơ địa chính, bao gồm bản đồ địa chính, phần lớn không đầy đủ, không đảm bảo độ chính xác, thiếu cập nhật; do đó khó đảm bảo hỗ trợ nhu cầu cung cấp dịch vụ liên quan đến đất đai. Đến cuối năm 2016, chỉ có khoảng 20% GCNQSDĐ được cấp với tên của cả vợ và chồng theo quy định của pháp luật đất đai và pháp luật khác có liên quan. Bản thân hệ thống quản lý đất đai còn cồng kềnh và không thật sự hiệu quả, thiếu minh bạch và chưa cung cấp các dịch vụ công đáp ứng được hết các nhu cầu của người dân, doanh nghiệp về thời gian và tính chính xác.</w:t>
      </w:r>
    </w:p>
    <w:p w:rsidR="005B1350" w:rsidRDefault="005B1350" w:rsidP="00054651">
      <w:pPr>
        <w:pStyle w:val="BodyText"/>
        <w:contextualSpacing/>
        <w:jc w:val="both"/>
        <w:rPr>
          <w:sz w:val="26"/>
          <w:szCs w:val="26"/>
        </w:rPr>
      </w:pPr>
    </w:p>
    <w:p w:rsidR="005B1350" w:rsidRPr="00266CE2" w:rsidRDefault="005B1350" w:rsidP="00054651">
      <w:pPr>
        <w:pStyle w:val="BodyText"/>
        <w:numPr>
          <w:ilvl w:val="1"/>
          <w:numId w:val="1"/>
        </w:numPr>
        <w:contextualSpacing/>
        <w:rPr>
          <w:b/>
          <w:sz w:val="26"/>
          <w:szCs w:val="26"/>
        </w:rPr>
      </w:pPr>
      <w:r w:rsidRPr="00266CE2">
        <w:rPr>
          <w:b/>
          <w:sz w:val="26"/>
          <w:szCs w:val="26"/>
        </w:rPr>
        <w:lastRenderedPageBreak/>
        <w:t>Hệ thống quản lý đất đai Việt Nam</w:t>
      </w:r>
    </w:p>
    <w:p w:rsidR="005B1350" w:rsidRPr="00266CE2" w:rsidRDefault="005B1350" w:rsidP="00054651">
      <w:pPr>
        <w:pStyle w:val="BodyText"/>
        <w:contextualSpacing/>
        <w:rPr>
          <w:b/>
          <w:sz w:val="26"/>
          <w:szCs w:val="26"/>
        </w:rPr>
      </w:pPr>
    </w:p>
    <w:p w:rsidR="005B1350" w:rsidRPr="00266CE2" w:rsidRDefault="005B1350" w:rsidP="00054651">
      <w:pPr>
        <w:pStyle w:val="BodyText"/>
        <w:contextualSpacing/>
        <w:jc w:val="both"/>
        <w:rPr>
          <w:sz w:val="26"/>
          <w:szCs w:val="26"/>
        </w:rPr>
      </w:pPr>
      <w:r w:rsidRPr="00266CE2">
        <w:rPr>
          <w:sz w:val="26"/>
          <w:szCs w:val="26"/>
        </w:rPr>
        <w:t xml:space="preserve">Hệ thống quản lý đất đai Việt Nam là một hệ thống đa cấp, được tổ chức theo mô hình phân cấp hành chính, gồm cơ quan chuyên môn ở cấp trung ương, 63 tỉnh thành, hơn 700 quận huyện và hơn 10.000 xã, phường, thị trấn. </w:t>
      </w:r>
    </w:p>
    <w:p w:rsidR="005B1350" w:rsidRPr="00266CE2" w:rsidRDefault="005B1350" w:rsidP="00054651">
      <w:pPr>
        <w:pStyle w:val="BodyText"/>
        <w:contextualSpacing/>
        <w:jc w:val="both"/>
        <w:rPr>
          <w:sz w:val="26"/>
          <w:szCs w:val="26"/>
        </w:rPr>
      </w:pPr>
    </w:p>
    <w:p w:rsidR="005B1350" w:rsidRPr="00266CE2" w:rsidRDefault="005B1350" w:rsidP="00054651">
      <w:pPr>
        <w:pStyle w:val="BodyText"/>
        <w:contextualSpacing/>
        <w:jc w:val="both"/>
        <w:rPr>
          <w:sz w:val="26"/>
          <w:szCs w:val="26"/>
        </w:rPr>
      </w:pPr>
      <w:r w:rsidRPr="00266CE2">
        <w:rPr>
          <w:sz w:val="26"/>
          <w:szCs w:val="26"/>
        </w:rPr>
        <w:t>Năm 2009, TCQLĐĐ được thành lập lại là tổ chức thuộc Bộ Tài nguyên và Môi trường (BTNMT), thực hiện chức năng tham mưu, giúp BTNMT quản lý nhà nước và tổ chức thực thi pháp luật về đất đai trong phạm vi cả nước; thực hiện các dịch vụ công trong lĩnh vực đất đai theo quy định của pháp luật. Các hoạt động chuyên môn của TCQLĐĐ tập trung vào quản lý nhà nước về đất đai, chỉ đạo và tổ chức kiểm tra đất đai trong cả nước và chỉ đạo việc quy hoạch, kế hoạch sử dụng đất; đo đạc bản đồ và đăng ký đất đai; giá đất, bồi thường, hỗ trợ, tái định cư khi Nhà nước thu hồi đất; phát triển quỹ đất, quản lý và phát triển thị trường quyền sử dụng đất; điều tra, đánh giá tài nguyên đất, lập bản đồ hiện trạng sử dụng đất; xây dựng hệ thống thông tin đất đai và giao dịch điện tử trong lĩnh vực đất đai; và, kiểm soát việc quản lý, sử dụng đất đai trong phạm vi cả nước. TCQLĐĐ có trụ sở tại Hà Nội.</w:t>
      </w:r>
    </w:p>
    <w:p w:rsidR="005B1350" w:rsidRPr="00266CE2" w:rsidRDefault="005B1350" w:rsidP="00054651">
      <w:pPr>
        <w:pStyle w:val="BodyText"/>
        <w:contextualSpacing/>
        <w:jc w:val="both"/>
        <w:rPr>
          <w:sz w:val="26"/>
          <w:szCs w:val="26"/>
        </w:rPr>
      </w:pPr>
    </w:p>
    <w:p w:rsidR="005B1350" w:rsidRPr="00266CE2" w:rsidRDefault="005B1350" w:rsidP="00054651">
      <w:pPr>
        <w:pStyle w:val="BodyText"/>
        <w:contextualSpacing/>
        <w:jc w:val="both"/>
        <w:rPr>
          <w:sz w:val="26"/>
          <w:szCs w:val="26"/>
        </w:rPr>
      </w:pPr>
      <w:r w:rsidRPr="00266CE2">
        <w:rPr>
          <w:sz w:val="26"/>
          <w:szCs w:val="26"/>
        </w:rPr>
        <w:t>Ở cấp tỉnh có các sở tài nguyên và môi trưởng, ở cấp huyện có các phòng tài nguyên và môi trường, trong khi tại cấp xã, có các công chức địa chính chịu trách nhiệm thực hiện chức năng quản lý nhà nước về đất đai trong phạm vi đơn vị hành chính tương ứng. Tương ứng với mỗi cấp quản lý hành chính, cơ quan cấp trên có trách nhiệm chỉ đạo, hướng dẫn cơ quan cấp dưới. Nhân sự và tổ chức thuộc quyền quản ký của uỷ ban nhân dân cấp tương đương. Trên thực tế, với một hệ thống phân cấp, hầu hết các hoạt động liên quan đến người sử dụng đất xảy ra ở cấp cơ sở.</w:t>
      </w:r>
    </w:p>
    <w:p w:rsidR="005B1350" w:rsidRPr="00266CE2" w:rsidRDefault="005B1350" w:rsidP="00054651">
      <w:pPr>
        <w:pStyle w:val="BodyText"/>
        <w:contextualSpacing/>
        <w:jc w:val="both"/>
        <w:rPr>
          <w:sz w:val="26"/>
          <w:szCs w:val="26"/>
        </w:rPr>
      </w:pPr>
    </w:p>
    <w:p w:rsidR="005B1350" w:rsidRPr="00266CE2" w:rsidRDefault="005B1350" w:rsidP="00054651">
      <w:pPr>
        <w:pStyle w:val="BodyText"/>
        <w:numPr>
          <w:ilvl w:val="0"/>
          <w:numId w:val="1"/>
        </w:numPr>
        <w:contextualSpacing/>
        <w:rPr>
          <w:b/>
          <w:sz w:val="26"/>
          <w:szCs w:val="26"/>
          <w:lang w:val="en-US"/>
        </w:rPr>
      </w:pPr>
      <w:r w:rsidRPr="00266CE2">
        <w:rPr>
          <w:b/>
          <w:sz w:val="26"/>
          <w:szCs w:val="26"/>
          <w:lang w:val="en-US"/>
        </w:rPr>
        <w:t>GIỚI THIỆU VỀ TỈNH VĨNH LONG</w:t>
      </w:r>
    </w:p>
    <w:p w:rsidR="005B1350" w:rsidRPr="00266CE2" w:rsidRDefault="005B1350" w:rsidP="00054651">
      <w:pPr>
        <w:pStyle w:val="BodyText"/>
        <w:contextualSpacing/>
        <w:rPr>
          <w:b/>
          <w:sz w:val="26"/>
          <w:szCs w:val="26"/>
          <w:lang w:val="en-US"/>
        </w:rPr>
      </w:pPr>
    </w:p>
    <w:p w:rsidR="005B1350" w:rsidRPr="00266CE2" w:rsidRDefault="005B1350" w:rsidP="00054651">
      <w:pPr>
        <w:pStyle w:val="BodyText"/>
        <w:numPr>
          <w:ilvl w:val="1"/>
          <w:numId w:val="1"/>
        </w:numPr>
        <w:contextualSpacing/>
        <w:rPr>
          <w:b/>
          <w:sz w:val="26"/>
          <w:szCs w:val="26"/>
          <w:lang w:val="en-US"/>
        </w:rPr>
      </w:pPr>
      <w:r w:rsidRPr="00266CE2">
        <w:rPr>
          <w:b/>
          <w:sz w:val="26"/>
          <w:szCs w:val="26"/>
          <w:lang w:val="en-US"/>
        </w:rPr>
        <w:t xml:space="preserve">Kết quả cấp </w:t>
      </w:r>
      <w:r w:rsidRPr="00266CE2">
        <w:rPr>
          <w:b/>
          <w:sz w:val="26"/>
          <w:szCs w:val="26"/>
        </w:rPr>
        <w:t>GCNQSDĐ</w:t>
      </w:r>
      <w:r w:rsidRPr="00266CE2">
        <w:rPr>
          <w:b/>
          <w:sz w:val="26"/>
          <w:szCs w:val="26"/>
          <w:lang w:val="en-US"/>
        </w:rPr>
        <w:t xml:space="preserve"> tại Vĩnh Long</w:t>
      </w:r>
    </w:p>
    <w:p w:rsidR="005B1350" w:rsidRPr="00266CE2" w:rsidRDefault="005B1350" w:rsidP="00054651">
      <w:pPr>
        <w:pStyle w:val="BodyText"/>
        <w:ind w:left="420"/>
        <w:contextualSpacing/>
        <w:rPr>
          <w:b/>
          <w:sz w:val="26"/>
          <w:szCs w:val="26"/>
          <w:lang w:val="en-US"/>
        </w:rPr>
      </w:pPr>
    </w:p>
    <w:p w:rsidR="005B1350" w:rsidRDefault="005B1350" w:rsidP="00054651">
      <w:pPr>
        <w:pStyle w:val="BodyText"/>
        <w:contextualSpacing/>
        <w:jc w:val="both"/>
        <w:rPr>
          <w:sz w:val="26"/>
          <w:szCs w:val="26"/>
          <w:lang w:val="en-US"/>
        </w:rPr>
      </w:pPr>
      <w:r w:rsidRPr="00266CE2">
        <w:rPr>
          <w:sz w:val="26"/>
          <w:szCs w:val="26"/>
          <w:lang w:val="en-US"/>
        </w:rPr>
        <w:t>Có vị trí ở trung tâm Đồng bằng Sông Cửu Long, nằm giữa hai con sông nổi tiếng, sông Tiền và sông Hậu, Vĩnh Long đóng một vai trò quan trọng trong sản xuất nông nghiệp của khu vực và được biết đến nhiều với nghề nuôi cá da trơn ở khu vực phía Nam. Cũng như các tỉnh nông nghiệp truyền thống khác, đất đai là một vấn đề quan trọng đối với người dân, cả đất ở và đất sản xuất nông nghiệp. Vĩnh Long có diện tích tương đối nhỏ, khoảng 1.500 km2 với dân số khoảng 1,04 triệu người, 265.000 hộ gia đình, với mật độ khoảng 700người/km2. Tỉnh Vĩnh Long có 9 đơn vị hành chính cấp huyện, gồm 7 huyện, một thị xã và một thành phố.</w:t>
      </w:r>
    </w:p>
    <w:p w:rsidR="00455CCB" w:rsidRPr="00266CE2" w:rsidRDefault="00455CCB" w:rsidP="00054651">
      <w:pPr>
        <w:pStyle w:val="BodyText"/>
        <w:contextualSpacing/>
        <w:jc w:val="both"/>
        <w:rPr>
          <w:sz w:val="26"/>
          <w:szCs w:val="26"/>
          <w:lang w:val="en-US"/>
        </w:rPr>
      </w:pPr>
    </w:p>
    <w:p w:rsidR="005B1350" w:rsidRPr="00352B44" w:rsidRDefault="005B1350" w:rsidP="00054651">
      <w:pPr>
        <w:pStyle w:val="BodyText"/>
        <w:contextualSpacing/>
        <w:jc w:val="both"/>
        <w:rPr>
          <w:b/>
          <w:lang w:val="en-US"/>
        </w:rPr>
      </w:pPr>
      <w:r>
        <w:rPr>
          <w:b/>
          <w:sz w:val="22"/>
          <w:lang w:val="en-US"/>
        </w:rPr>
        <w:t>Bảng</w:t>
      </w:r>
      <w:r w:rsidRPr="00352B44">
        <w:rPr>
          <w:b/>
          <w:sz w:val="22"/>
          <w:lang w:val="en-US"/>
        </w:rPr>
        <w:t xml:space="preserve"> 1: </w:t>
      </w:r>
      <w:r>
        <w:rPr>
          <w:b/>
          <w:sz w:val="22"/>
          <w:lang w:val="en-US"/>
        </w:rPr>
        <w:t xml:space="preserve">Kết quả cấp </w:t>
      </w:r>
      <w:r w:rsidRPr="00805B47">
        <w:rPr>
          <w:b/>
          <w:sz w:val="22"/>
        </w:rPr>
        <w:t>GCNQSDĐ</w:t>
      </w:r>
      <w:r>
        <w:rPr>
          <w:b/>
          <w:sz w:val="22"/>
        </w:rPr>
        <w:t xml:space="preserve"> tại Vĩnh Long (2014)</w:t>
      </w:r>
    </w:p>
    <w:tbl>
      <w:tblPr>
        <w:tblW w:w="9067" w:type="dxa"/>
        <w:jc w:val="center"/>
        <w:tblBorders>
          <w:top w:val="single" w:sz="4" w:space="0" w:color="auto"/>
          <w:bottom w:val="single" w:sz="4" w:space="0" w:color="auto"/>
        </w:tblBorders>
        <w:tblLayout w:type="fixed"/>
        <w:tblLook w:val="04A0" w:firstRow="1" w:lastRow="0" w:firstColumn="1" w:lastColumn="0" w:noHBand="0" w:noVBand="1"/>
      </w:tblPr>
      <w:tblGrid>
        <w:gridCol w:w="1848"/>
        <w:gridCol w:w="1134"/>
        <w:gridCol w:w="1417"/>
        <w:gridCol w:w="1134"/>
        <w:gridCol w:w="1134"/>
        <w:gridCol w:w="1418"/>
        <w:gridCol w:w="982"/>
      </w:tblGrid>
      <w:tr w:rsidR="005B1350" w:rsidRPr="00B81639" w:rsidTr="0088357D">
        <w:trPr>
          <w:trHeight w:val="300"/>
          <w:jc w:val="center"/>
        </w:trPr>
        <w:tc>
          <w:tcPr>
            <w:tcW w:w="1848" w:type="dxa"/>
            <w:vMerge w:val="restart"/>
            <w:tcBorders>
              <w:top w:val="single" w:sz="4" w:space="0" w:color="auto"/>
              <w:bottom w:val="nil"/>
            </w:tcBorders>
            <w:shd w:val="clear" w:color="auto" w:fill="auto"/>
            <w:noWrap/>
            <w:vAlign w:val="center"/>
          </w:tcPr>
          <w:p w:rsidR="005B1350" w:rsidRDefault="005B1350" w:rsidP="00054651">
            <w:pPr>
              <w:contextualSpacing/>
              <w:jc w:val="right"/>
              <w:rPr>
                <w:color w:val="000000"/>
                <w:sz w:val="21"/>
                <w:szCs w:val="21"/>
                <w:lang w:val="en-AU" w:eastAsia="en-AU"/>
              </w:rPr>
            </w:pPr>
            <w:r>
              <w:rPr>
                <w:color w:val="000000"/>
                <w:sz w:val="21"/>
                <w:szCs w:val="21"/>
                <w:lang w:val="en-AU" w:eastAsia="en-AU"/>
              </w:rPr>
              <w:t>Đối tượng</w:t>
            </w:r>
          </w:p>
          <w:p w:rsidR="005B1350" w:rsidRPr="00B81639" w:rsidRDefault="005B1350" w:rsidP="00054651">
            <w:pPr>
              <w:contextualSpacing/>
              <w:rPr>
                <w:color w:val="000000"/>
                <w:sz w:val="21"/>
                <w:szCs w:val="21"/>
                <w:lang w:val="en-AU" w:eastAsia="en-AU"/>
              </w:rPr>
            </w:pPr>
            <w:r>
              <w:rPr>
                <w:color w:val="000000"/>
                <w:sz w:val="21"/>
                <w:szCs w:val="21"/>
                <w:lang w:val="en-AU" w:eastAsia="en-AU"/>
              </w:rPr>
              <w:t>Kết quả</w:t>
            </w:r>
          </w:p>
        </w:tc>
        <w:tc>
          <w:tcPr>
            <w:tcW w:w="3685" w:type="dxa"/>
            <w:gridSpan w:val="3"/>
            <w:tcBorders>
              <w:top w:val="single" w:sz="4" w:space="0" w:color="auto"/>
              <w:bottom w:val="nil"/>
            </w:tcBorders>
            <w:shd w:val="clear" w:color="auto" w:fill="auto"/>
            <w:noWrap/>
            <w:vAlign w:val="bottom"/>
            <w:hideMark/>
          </w:tcPr>
          <w:p w:rsidR="005B1350" w:rsidRPr="00B81639" w:rsidRDefault="005B1350" w:rsidP="00054651">
            <w:pPr>
              <w:contextualSpacing/>
              <w:jc w:val="center"/>
              <w:rPr>
                <w:color w:val="000000"/>
                <w:sz w:val="21"/>
                <w:szCs w:val="21"/>
                <w:lang w:val="en-AU" w:eastAsia="en-AU"/>
              </w:rPr>
            </w:pPr>
            <w:r>
              <w:rPr>
                <w:color w:val="000000"/>
                <w:sz w:val="21"/>
                <w:szCs w:val="21"/>
                <w:lang w:val="en-AU" w:eastAsia="en-AU"/>
              </w:rPr>
              <w:t>Cá nhân, hộ gia đình</w:t>
            </w:r>
          </w:p>
        </w:tc>
        <w:tc>
          <w:tcPr>
            <w:tcW w:w="3534" w:type="dxa"/>
            <w:gridSpan w:val="3"/>
            <w:tcBorders>
              <w:top w:val="single" w:sz="4" w:space="0" w:color="auto"/>
              <w:bottom w:val="nil"/>
            </w:tcBorders>
            <w:shd w:val="clear" w:color="auto" w:fill="auto"/>
            <w:noWrap/>
            <w:vAlign w:val="bottom"/>
            <w:hideMark/>
          </w:tcPr>
          <w:p w:rsidR="005B1350" w:rsidRPr="00B81639" w:rsidRDefault="005B1350" w:rsidP="00054651">
            <w:pPr>
              <w:contextualSpacing/>
              <w:jc w:val="center"/>
              <w:rPr>
                <w:color w:val="000000"/>
                <w:sz w:val="21"/>
                <w:szCs w:val="21"/>
                <w:lang w:val="en-AU" w:eastAsia="en-AU"/>
              </w:rPr>
            </w:pPr>
            <w:r>
              <w:rPr>
                <w:color w:val="000000"/>
                <w:sz w:val="21"/>
                <w:szCs w:val="21"/>
                <w:lang w:val="en-AU" w:eastAsia="en-AU"/>
              </w:rPr>
              <w:t>Tổ chức</w:t>
            </w:r>
          </w:p>
        </w:tc>
      </w:tr>
      <w:tr w:rsidR="005B1350" w:rsidRPr="00B81639" w:rsidTr="0088357D">
        <w:trPr>
          <w:trHeight w:val="300"/>
          <w:jc w:val="center"/>
        </w:trPr>
        <w:tc>
          <w:tcPr>
            <w:tcW w:w="1848" w:type="dxa"/>
            <w:vMerge/>
            <w:tcBorders>
              <w:top w:val="nil"/>
              <w:bottom w:val="single" w:sz="4" w:space="0" w:color="auto"/>
            </w:tcBorders>
            <w:shd w:val="clear" w:color="auto" w:fill="auto"/>
            <w:noWrap/>
            <w:vAlign w:val="bottom"/>
          </w:tcPr>
          <w:p w:rsidR="005B1350" w:rsidRPr="00B81639" w:rsidRDefault="005B1350" w:rsidP="00054651">
            <w:pPr>
              <w:contextualSpacing/>
              <w:jc w:val="center"/>
              <w:rPr>
                <w:color w:val="000000"/>
                <w:sz w:val="21"/>
                <w:szCs w:val="21"/>
                <w:lang w:val="en-AU" w:eastAsia="en-AU"/>
              </w:rPr>
            </w:pPr>
          </w:p>
        </w:tc>
        <w:tc>
          <w:tcPr>
            <w:tcW w:w="1134" w:type="dxa"/>
            <w:tcBorders>
              <w:top w:val="nil"/>
              <w:bottom w:val="single" w:sz="4" w:space="0" w:color="auto"/>
            </w:tcBorders>
            <w:shd w:val="clear" w:color="auto" w:fill="auto"/>
            <w:noWrap/>
            <w:vAlign w:val="bottom"/>
            <w:hideMark/>
          </w:tcPr>
          <w:p w:rsidR="005B1350" w:rsidRPr="00B81639" w:rsidRDefault="005B1350" w:rsidP="00054651">
            <w:pPr>
              <w:contextualSpacing/>
              <w:jc w:val="center"/>
              <w:rPr>
                <w:i/>
                <w:color w:val="000000"/>
                <w:sz w:val="21"/>
                <w:szCs w:val="21"/>
                <w:lang w:val="en-AU" w:eastAsia="en-AU"/>
              </w:rPr>
            </w:pPr>
            <w:r>
              <w:rPr>
                <w:i/>
                <w:color w:val="000000"/>
                <w:sz w:val="21"/>
                <w:szCs w:val="21"/>
                <w:lang w:val="en-AU" w:eastAsia="en-AU"/>
              </w:rPr>
              <w:t>Số lượng</w:t>
            </w:r>
          </w:p>
        </w:tc>
        <w:tc>
          <w:tcPr>
            <w:tcW w:w="1417" w:type="dxa"/>
            <w:tcBorders>
              <w:top w:val="nil"/>
              <w:bottom w:val="single" w:sz="4" w:space="0" w:color="auto"/>
            </w:tcBorders>
            <w:shd w:val="clear" w:color="auto" w:fill="auto"/>
            <w:noWrap/>
            <w:vAlign w:val="bottom"/>
            <w:hideMark/>
          </w:tcPr>
          <w:p w:rsidR="005B1350" w:rsidRPr="00B81639" w:rsidRDefault="005B1350" w:rsidP="00054651">
            <w:pPr>
              <w:contextualSpacing/>
              <w:jc w:val="center"/>
              <w:rPr>
                <w:i/>
                <w:color w:val="000000"/>
                <w:sz w:val="21"/>
                <w:szCs w:val="21"/>
                <w:lang w:val="en-AU" w:eastAsia="en-AU"/>
              </w:rPr>
            </w:pPr>
            <w:r>
              <w:rPr>
                <w:i/>
                <w:color w:val="000000"/>
                <w:sz w:val="21"/>
                <w:szCs w:val="21"/>
                <w:lang w:val="en-US" w:eastAsia="en-AU"/>
              </w:rPr>
              <w:t xml:space="preserve">Diện tích </w:t>
            </w:r>
            <w:r w:rsidRPr="00B81639">
              <w:rPr>
                <w:i/>
                <w:color w:val="000000"/>
                <w:sz w:val="21"/>
                <w:szCs w:val="21"/>
                <w:lang w:val="en-US" w:eastAsia="en-AU"/>
              </w:rPr>
              <w:t>(ha)</w:t>
            </w:r>
          </w:p>
        </w:tc>
        <w:tc>
          <w:tcPr>
            <w:tcW w:w="1134" w:type="dxa"/>
            <w:tcBorders>
              <w:top w:val="nil"/>
              <w:bottom w:val="single" w:sz="4" w:space="0" w:color="auto"/>
            </w:tcBorders>
            <w:shd w:val="clear" w:color="auto" w:fill="auto"/>
            <w:noWrap/>
            <w:vAlign w:val="bottom"/>
            <w:hideMark/>
          </w:tcPr>
          <w:p w:rsidR="005B1350" w:rsidRPr="00B81639" w:rsidRDefault="005B1350" w:rsidP="00054651">
            <w:pPr>
              <w:contextualSpacing/>
              <w:jc w:val="center"/>
              <w:rPr>
                <w:i/>
                <w:color w:val="000000"/>
                <w:sz w:val="21"/>
                <w:szCs w:val="21"/>
                <w:lang w:val="en-AU" w:eastAsia="en-AU"/>
              </w:rPr>
            </w:pPr>
            <w:r>
              <w:rPr>
                <w:i/>
                <w:color w:val="000000"/>
                <w:sz w:val="21"/>
                <w:szCs w:val="21"/>
                <w:lang w:val="en-AU" w:eastAsia="en-AU"/>
              </w:rPr>
              <w:t>Số thửa</w:t>
            </w:r>
          </w:p>
        </w:tc>
        <w:tc>
          <w:tcPr>
            <w:tcW w:w="1134" w:type="dxa"/>
            <w:tcBorders>
              <w:top w:val="nil"/>
              <w:bottom w:val="single" w:sz="4" w:space="0" w:color="auto"/>
            </w:tcBorders>
            <w:shd w:val="clear" w:color="auto" w:fill="auto"/>
            <w:noWrap/>
            <w:vAlign w:val="bottom"/>
            <w:hideMark/>
          </w:tcPr>
          <w:p w:rsidR="005B1350" w:rsidRPr="00B81639" w:rsidRDefault="005B1350" w:rsidP="00054651">
            <w:pPr>
              <w:contextualSpacing/>
              <w:jc w:val="center"/>
              <w:rPr>
                <w:i/>
                <w:color w:val="000000"/>
                <w:sz w:val="21"/>
                <w:szCs w:val="21"/>
                <w:lang w:val="en-AU" w:eastAsia="en-AU"/>
              </w:rPr>
            </w:pPr>
            <w:r>
              <w:rPr>
                <w:i/>
                <w:color w:val="000000"/>
                <w:sz w:val="21"/>
                <w:szCs w:val="21"/>
                <w:lang w:val="en-AU" w:eastAsia="en-AU"/>
              </w:rPr>
              <w:t>Số lượng</w:t>
            </w:r>
          </w:p>
        </w:tc>
        <w:tc>
          <w:tcPr>
            <w:tcW w:w="1418" w:type="dxa"/>
            <w:tcBorders>
              <w:top w:val="nil"/>
              <w:bottom w:val="single" w:sz="4" w:space="0" w:color="auto"/>
            </w:tcBorders>
            <w:shd w:val="clear" w:color="auto" w:fill="auto"/>
            <w:noWrap/>
            <w:vAlign w:val="bottom"/>
            <w:hideMark/>
          </w:tcPr>
          <w:p w:rsidR="005B1350" w:rsidRPr="00B81639" w:rsidRDefault="005B1350" w:rsidP="00054651">
            <w:pPr>
              <w:contextualSpacing/>
              <w:jc w:val="center"/>
              <w:rPr>
                <w:i/>
                <w:color w:val="000000"/>
                <w:sz w:val="21"/>
                <w:szCs w:val="21"/>
                <w:lang w:val="en-AU" w:eastAsia="en-AU"/>
              </w:rPr>
            </w:pPr>
            <w:r>
              <w:rPr>
                <w:i/>
                <w:color w:val="000000"/>
                <w:sz w:val="21"/>
                <w:szCs w:val="21"/>
                <w:lang w:val="en-US" w:eastAsia="en-AU"/>
              </w:rPr>
              <w:t xml:space="preserve">Diện tích </w:t>
            </w:r>
            <w:r w:rsidRPr="00B81639">
              <w:rPr>
                <w:i/>
                <w:color w:val="000000"/>
                <w:sz w:val="21"/>
                <w:szCs w:val="21"/>
                <w:lang w:val="en-US" w:eastAsia="en-AU"/>
              </w:rPr>
              <w:t>(ha)</w:t>
            </w:r>
          </w:p>
        </w:tc>
        <w:tc>
          <w:tcPr>
            <w:tcW w:w="982" w:type="dxa"/>
            <w:tcBorders>
              <w:top w:val="nil"/>
              <w:bottom w:val="single" w:sz="4" w:space="0" w:color="auto"/>
            </w:tcBorders>
            <w:shd w:val="clear" w:color="auto" w:fill="auto"/>
            <w:noWrap/>
            <w:vAlign w:val="bottom"/>
            <w:hideMark/>
          </w:tcPr>
          <w:p w:rsidR="005B1350" w:rsidRPr="00B81639" w:rsidRDefault="005B1350" w:rsidP="00054651">
            <w:pPr>
              <w:contextualSpacing/>
              <w:jc w:val="center"/>
              <w:rPr>
                <w:i/>
                <w:color w:val="000000"/>
                <w:sz w:val="21"/>
                <w:szCs w:val="21"/>
                <w:lang w:val="en-AU" w:eastAsia="en-AU"/>
              </w:rPr>
            </w:pPr>
            <w:r>
              <w:rPr>
                <w:i/>
                <w:color w:val="000000"/>
                <w:sz w:val="21"/>
                <w:szCs w:val="21"/>
                <w:lang w:val="en-AU" w:eastAsia="en-AU"/>
              </w:rPr>
              <w:t>Số thửa</w:t>
            </w:r>
          </w:p>
        </w:tc>
      </w:tr>
      <w:tr w:rsidR="005B1350" w:rsidRPr="00B81639" w:rsidTr="0088357D">
        <w:trPr>
          <w:trHeight w:val="300"/>
          <w:jc w:val="center"/>
        </w:trPr>
        <w:tc>
          <w:tcPr>
            <w:tcW w:w="1848" w:type="dxa"/>
            <w:tcBorders>
              <w:top w:val="single" w:sz="4" w:space="0" w:color="auto"/>
            </w:tcBorders>
            <w:shd w:val="clear" w:color="auto" w:fill="auto"/>
            <w:noWrap/>
            <w:vAlign w:val="bottom"/>
            <w:hideMark/>
          </w:tcPr>
          <w:p w:rsidR="005B1350" w:rsidRPr="00B81639" w:rsidRDefault="005B1350" w:rsidP="00054651">
            <w:pPr>
              <w:contextualSpacing/>
              <w:rPr>
                <w:color w:val="000000"/>
                <w:sz w:val="21"/>
                <w:szCs w:val="21"/>
                <w:lang w:val="en-AU" w:eastAsia="en-AU"/>
              </w:rPr>
            </w:pPr>
            <w:r>
              <w:rPr>
                <w:color w:val="000000"/>
                <w:sz w:val="21"/>
                <w:szCs w:val="21"/>
                <w:lang w:val="en-AU" w:eastAsia="en-AU"/>
              </w:rPr>
              <w:t>Tổng</w:t>
            </w:r>
          </w:p>
        </w:tc>
        <w:tc>
          <w:tcPr>
            <w:tcW w:w="1134" w:type="dxa"/>
            <w:tcBorders>
              <w:top w:val="single" w:sz="4" w:space="0" w:color="auto"/>
            </w:tcBorders>
            <w:shd w:val="clear" w:color="auto" w:fill="auto"/>
            <w:noWrap/>
            <w:vAlign w:val="bottom"/>
            <w:hideMark/>
          </w:tcPr>
          <w:p w:rsidR="005B1350" w:rsidRPr="00B81639" w:rsidRDefault="005B1350" w:rsidP="00054651">
            <w:pPr>
              <w:contextualSpacing/>
              <w:jc w:val="right"/>
              <w:rPr>
                <w:color w:val="000000"/>
                <w:sz w:val="21"/>
                <w:szCs w:val="21"/>
                <w:lang w:val="en-AU" w:eastAsia="en-AU"/>
              </w:rPr>
            </w:pPr>
            <w:r w:rsidRPr="00B81639">
              <w:rPr>
                <w:color w:val="000000"/>
                <w:sz w:val="21"/>
                <w:szCs w:val="21"/>
                <w:lang w:val="vi-VN" w:eastAsia="en-AU"/>
              </w:rPr>
              <w:t>263</w:t>
            </w:r>
            <w:r w:rsidRPr="00B81639">
              <w:rPr>
                <w:color w:val="000000"/>
                <w:sz w:val="21"/>
                <w:szCs w:val="21"/>
                <w:lang w:val="en-AU" w:eastAsia="en-AU"/>
              </w:rPr>
              <w:t>,</w:t>
            </w:r>
            <w:r w:rsidRPr="00B81639">
              <w:rPr>
                <w:color w:val="000000"/>
                <w:sz w:val="21"/>
                <w:szCs w:val="21"/>
                <w:lang w:val="vi-VN" w:eastAsia="en-AU"/>
              </w:rPr>
              <w:t>948</w:t>
            </w:r>
          </w:p>
        </w:tc>
        <w:tc>
          <w:tcPr>
            <w:tcW w:w="1417" w:type="dxa"/>
            <w:tcBorders>
              <w:top w:val="single" w:sz="4" w:space="0" w:color="auto"/>
            </w:tcBorders>
            <w:shd w:val="clear" w:color="auto" w:fill="auto"/>
            <w:noWrap/>
            <w:vAlign w:val="bottom"/>
            <w:hideMark/>
          </w:tcPr>
          <w:p w:rsidR="005B1350" w:rsidRPr="00B81639" w:rsidRDefault="005B1350" w:rsidP="00054651">
            <w:pPr>
              <w:contextualSpacing/>
              <w:jc w:val="right"/>
              <w:rPr>
                <w:color w:val="000000"/>
                <w:sz w:val="21"/>
                <w:szCs w:val="21"/>
                <w:lang w:val="en-AU" w:eastAsia="en-AU"/>
              </w:rPr>
            </w:pPr>
            <w:r w:rsidRPr="00B81639">
              <w:rPr>
                <w:color w:val="000000"/>
                <w:sz w:val="21"/>
                <w:szCs w:val="21"/>
                <w:lang w:val="vi-VN" w:eastAsia="en-AU"/>
              </w:rPr>
              <w:t>124</w:t>
            </w:r>
            <w:r w:rsidRPr="00B81639">
              <w:rPr>
                <w:color w:val="000000"/>
                <w:sz w:val="21"/>
                <w:szCs w:val="21"/>
                <w:lang w:val="en-AU" w:eastAsia="en-AU"/>
              </w:rPr>
              <w:t>,</w:t>
            </w:r>
            <w:r w:rsidRPr="00B81639">
              <w:rPr>
                <w:color w:val="000000"/>
                <w:sz w:val="21"/>
                <w:szCs w:val="21"/>
                <w:lang w:val="vi-VN" w:eastAsia="en-AU"/>
              </w:rPr>
              <w:t>286</w:t>
            </w:r>
          </w:p>
        </w:tc>
        <w:tc>
          <w:tcPr>
            <w:tcW w:w="1134" w:type="dxa"/>
            <w:tcBorders>
              <w:top w:val="single" w:sz="4" w:space="0" w:color="auto"/>
            </w:tcBorders>
            <w:shd w:val="clear" w:color="auto" w:fill="auto"/>
            <w:noWrap/>
            <w:vAlign w:val="bottom"/>
            <w:hideMark/>
          </w:tcPr>
          <w:p w:rsidR="005B1350" w:rsidRPr="00B81639" w:rsidRDefault="005B1350" w:rsidP="00054651">
            <w:pPr>
              <w:contextualSpacing/>
              <w:jc w:val="right"/>
              <w:rPr>
                <w:color w:val="000000"/>
                <w:sz w:val="21"/>
                <w:szCs w:val="21"/>
                <w:lang w:val="en-AU" w:eastAsia="en-AU"/>
              </w:rPr>
            </w:pPr>
            <w:r w:rsidRPr="00B81639">
              <w:rPr>
                <w:color w:val="000000"/>
                <w:sz w:val="21"/>
                <w:szCs w:val="21"/>
                <w:lang w:val="en-US" w:eastAsia="en-AU"/>
              </w:rPr>
              <w:t>450,000</w:t>
            </w:r>
          </w:p>
        </w:tc>
        <w:tc>
          <w:tcPr>
            <w:tcW w:w="1134" w:type="dxa"/>
            <w:tcBorders>
              <w:top w:val="single" w:sz="4" w:space="0" w:color="auto"/>
            </w:tcBorders>
            <w:shd w:val="clear" w:color="auto" w:fill="auto"/>
            <w:noWrap/>
            <w:vAlign w:val="bottom"/>
            <w:hideMark/>
          </w:tcPr>
          <w:p w:rsidR="005B1350" w:rsidRPr="00B81639" w:rsidRDefault="005B1350" w:rsidP="00054651">
            <w:pPr>
              <w:contextualSpacing/>
              <w:jc w:val="right"/>
              <w:rPr>
                <w:color w:val="000000"/>
                <w:sz w:val="21"/>
                <w:szCs w:val="21"/>
                <w:lang w:val="en-AU" w:eastAsia="en-AU"/>
              </w:rPr>
            </w:pPr>
            <w:r w:rsidRPr="00B81639">
              <w:rPr>
                <w:color w:val="000000"/>
                <w:sz w:val="21"/>
                <w:szCs w:val="21"/>
                <w:lang w:val="vi-VN" w:eastAsia="en-AU"/>
              </w:rPr>
              <w:t>2</w:t>
            </w:r>
            <w:r w:rsidRPr="00B81639">
              <w:rPr>
                <w:color w:val="000000"/>
                <w:sz w:val="21"/>
                <w:szCs w:val="21"/>
                <w:lang w:val="en-AU" w:eastAsia="en-AU"/>
              </w:rPr>
              <w:t>,</w:t>
            </w:r>
            <w:r w:rsidRPr="00B81639">
              <w:rPr>
                <w:color w:val="000000"/>
                <w:sz w:val="21"/>
                <w:szCs w:val="21"/>
                <w:lang w:val="vi-VN" w:eastAsia="en-AU"/>
              </w:rPr>
              <w:t>604</w:t>
            </w:r>
          </w:p>
        </w:tc>
        <w:tc>
          <w:tcPr>
            <w:tcW w:w="1418" w:type="dxa"/>
            <w:tcBorders>
              <w:top w:val="single" w:sz="4" w:space="0" w:color="auto"/>
            </w:tcBorders>
            <w:shd w:val="clear" w:color="auto" w:fill="auto"/>
            <w:noWrap/>
            <w:vAlign w:val="bottom"/>
            <w:hideMark/>
          </w:tcPr>
          <w:p w:rsidR="005B1350" w:rsidRPr="00B81639" w:rsidRDefault="005B1350" w:rsidP="00054651">
            <w:pPr>
              <w:contextualSpacing/>
              <w:jc w:val="right"/>
              <w:rPr>
                <w:color w:val="000000"/>
                <w:sz w:val="21"/>
                <w:szCs w:val="21"/>
                <w:lang w:val="en-AU" w:eastAsia="en-AU"/>
              </w:rPr>
            </w:pPr>
            <w:r w:rsidRPr="00B81639">
              <w:rPr>
                <w:color w:val="000000"/>
                <w:sz w:val="21"/>
                <w:szCs w:val="21"/>
                <w:lang w:val="vi-VN" w:eastAsia="en-AU"/>
              </w:rPr>
              <w:t>3</w:t>
            </w:r>
            <w:r w:rsidRPr="00B81639">
              <w:rPr>
                <w:color w:val="000000"/>
                <w:sz w:val="21"/>
                <w:szCs w:val="21"/>
                <w:lang w:val="en-AU" w:eastAsia="en-AU"/>
              </w:rPr>
              <w:t>,</w:t>
            </w:r>
            <w:r w:rsidRPr="00B81639">
              <w:rPr>
                <w:color w:val="000000"/>
                <w:sz w:val="21"/>
                <w:szCs w:val="21"/>
                <w:lang w:val="vi-VN" w:eastAsia="en-AU"/>
              </w:rPr>
              <w:t>114</w:t>
            </w:r>
          </w:p>
        </w:tc>
        <w:tc>
          <w:tcPr>
            <w:tcW w:w="982" w:type="dxa"/>
            <w:tcBorders>
              <w:top w:val="single" w:sz="4" w:space="0" w:color="auto"/>
            </w:tcBorders>
            <w:shd w:val="clear" w:color="auto" w:fill="auto"/>
            <w:noWrap/>
            <w:vAlign w:val="bottom"/>
            <w:hideMark/>
          </w:tcPr>
          <w:p w:rsidR="005B1350" w:rsidRPr="00B81639" w:rsidRDefault="005B1350" w:rsidP="00054651">
            <w:pPr>
              <w:contextualSpacing/>
              <w:jc w:val="right"/>
              <w:rPr>
                <w:color w:val="000000"/>
                <w:sz w:val="21"/>
                <w:szCs w:val="21"/>
                <w:lang w:val="en-AU" w:eastAsia="en-AU"/>
              </w:rPr>
            </w:pPr>
            <w:r w:rsidRPr="00B81639">
              <w:rPr>
                <w:color w:val="000000"/>
                <w:sz w:val="21"/>
                <w:szCs w:val="21"/>
                <w:lang w:val="en-US" w:eastAsia="en-AU"/>
              </w:rPr>
              <w:t>7,500</w:t>
            </w:r>
          </w:p>
        </w:tc>
      </w:tr>
      <w:tr w:rsidR="005B1350" w:rsidRPr="00006D33" w:rsidTr="0088357D">
        <w:trPr>
          <w:trHeight w:val="300"/>
          <w:jc w:val="center"/>
        </w:trPr>
        <w:tc>
          <w:tcPr>
            <w:tcW w:w="1848" w:type="dxa"/>
            <w:shd w:val="clear" w:color="auto" w:fill="auto"/>
            <w:noWrap/>
            <w:vAlign w:val="bottom"/>
            <w:hideMark/>
          </w:tcPr>
          <w:p w:rsidR="005B1350" w:rsidRPr="00006D33" w:rsidRDefault="005B1350" w:rsidP="00054651">
            <w:pPr>
              <w:contextualSpacing/>
              <w:jc w:val="right"/>
              <w:rPr>
                <w:i/>
                <w:color w:val="000000"/>
                <w:sz w:val="21"/>
                <w:szCs w:val="21"/>
                <w:lang w:val="en-AU" w:eastAsia="en-AU"/>
              </w:rPr>
            </w:pPr>
            <w:r>
              <w:rPr>
                <w:i/>
                <w:color w:val="000000"/>
                <w:sz w:val="21"/>
                <w:szCs w:val="21"/>
                <w:lang w:val="en-US" w:eastAsia="en-AU"/>
              </w:rPr>
              <w:t xml:space="preserve">Có </w:t>
            </w:r>
            <w:r w:rsidRPr="00805B47">
              <w:rPr>
                <w:i/>
                <w:color w:val="000000"/>
                <w:sz w:val="21"/>
                <w:szCs w:val="21"/>
                <w:lang w:eastAsia="en-AU"/>
              </w:rPr>
              <w:t>GCNQSDĐ</w:t>
            </w:r>
          </w:p>
        </w:tc>
        <w:tc>
          <w:tcPr>
            <w:tcW w:w="1134" w:type="dxa"/>
            <w:shd w:val="clear" w:color="auto" w:fill="auto"/>
            <w:noWrap/>
            <w:vAlign w:val="bottom"/>
            <w:hideMark/>
          </w:tcPr>
          <w:p w:rsidR="005B1350" w:rsidRPr="00006D33" w:rsidRDefault="005B1350" w:rsidP="00054651">
            <w:pPr>
              <w:contextualSpacing/>
              <w:jc w:val="right"/>
              <w:rPr>
                <w:i/>
                <w:color w:val="000000"/>
                <w:sz w:val="21"/>
                <w:szCs w:val="21"/>
                <w:lang w:val="en-AU" w:eastAsia="en-AU"/>
              </w:rPr>
            </w:pPr>
            <w:r w:rsidRPr="00006D33">
              <w:rPr>
                <w:i/>
                <w:color w:val="000000"/>
                <w:sz w:val="21"/>
                <w:szCs w:val="21"/>
                <w:lang w:val="vi-VN" w:eastAsia="en-AU"/>
              </w:rPr>
              <w:t>252</w:t>
            </w:r>
            <w:r w:rsidRPr="00006D33">
              <w:rPr>
                <w:i/>
                <w:color w:val="000000"/>
                <w:sz w:val="21"/>
                <w:szCs w:val="21"/>
                <w:lang w:val="en-AU" w:eastAsia="en-AU"/>
              </w:rPr>
              <w:t>,</w:t>
            </w:r>
            <w:r w:rsidRPr="00006D33">
              <w:rPr>
                <w:i/>
                <w:color w:val="000000"/>
                <w:sz w:val="21"/>
                <w:szCs w:val="21"/>
                <w:lang w:val="vi-VN" w:eastAsia="en-AU"/>
              </w:rPr>
              <w:t>789</w:t>
            </w:r>
          </w:p>
        </w:tc>
        <w:tc>
          <w:tcPr>
            <w:tcW w:w="1417" w:type="dxa"/>
            <w:shd w:val="clear" w:color="auto" w:fill="auto"/>
            <w:noWrap/>
            <w:vAlign w:val="bottom"/>
            <w:hideMark/>
          </w:tcPr>
          <w:p w:rsidR="005B1350" w:rsidRPr="00006D33" w:rsidRDefault="005B1350" w:rsidP="00054651">
            <w:pPr>
              <w:contextualSpacing/>
              <w:jc w:val="right"/>
              <w:rPr>
                <w:i/>
                <w:color w:val="000000"/>
                <w:sz w:val="21"/>
                <w:szCs w:val="21"/>
                <w:lang w:val="en-AU" w:eastAsia="en-AU"/>
              </w:rPr>
            </w:pPr>
            <w:r w:rsidRPr="00006D33">
              <w:rPr>
                <w:i/>
                <w:color w:val="000000"/>
                <w:sz w:val="21"/>
                <w:szCs w:val="21"/>
                <w:lang w:val="vi-VN" w:eastAsia="en-AU"/>
              </w:rPr>
              <w:t>120</w:t>
            </w:r>
            <w:r w:rsidRPr="00006D33">
              <w:rPr>
                <w:i/>
                <w:color w:val="000000"/>
                <w:sz w:val="21"/>
                <w:szCs w:val="21"/>
                <w:lang w:val="en-AU" w:eastAsia="en-AU"/>
              </w:rPr>
              <w:t>,</w:t>
            </w:r>
            <w:r w:rsidRPr="00006D33">
              <w:rPr>
                <w:i/>
                <w:color w:val="000000"/>
                <w:sz w:val="21"/>
                <w:szCs w:val="21"/>
                <w:lang w:val="vi-VN" w:eastAsia="en-AU"/>
              </w:rPr>
              <w:t>973</w:t>
            </w:r>
          </w:p>
        </w:tc>
        <w:tc>
          <w:tcPr>
            <w:tcW w:w="1134" w:type="dxa"/>
            <w:shd w:val="clear" w:color="auto" w:fill="auto"/>
            <w:noWrap/>
            <w:vAlign w:val="bottom"/>
            <w:hideMark/>
          </w:tcPr>
          <w:p w:rsidR="005B1350" w:rsidRPr="00006D33" w:rsidRDefault="005B1350" w:rsidP="00054651">
            <w:pPr>
              <w:contextualSpacing/>
              <w:jc w:val="right"/>
              <w:rPr>
                <w:i/>
                <w:color w:val="000000"/>
                <w:sz w:val="21"/>
                <w:szCs w:val="21"/>
                <w:lang w:val="en-AU" w:eastAsia="en-AU"/>
              </w:rPr>
            </w:pPr>
            <w:r w:rsidRPr="00006D33">
              <w:rPr>
                <w:i/>
                <w:color w:val="000000"/>
                <w:sz w:val="21"/>
                <w:szCs w:val="21"/>
                <w:lang w:val="vi-VN" w:eastAsia="en-AU"/>
              </w:rPr>
              <w:t>400</w:t>
            </w:r>
            <w:r w:rsidRPr="00006D33">
              <w:rPr>
                <w:i/>
                <w:color w:val="000000"/>
                <w:sz w:val="21"/>
                <w:szCs w:val="21"/>
                <w:lang w:val="en-AU" w:eastAsia="en-AU"/>
              </w:rPr>
              <w:t>,</w:t>
            </w:r>
            <w:r w:rsidRPr="00006D33">
              <w:rPr>
                <w:i/>
                <w:color w:val="000000"/>
                <w:sz w:val="21"/>
                <w:szCs w:val="21"/>
                <w:lang w:val="vi-VN" w:eastAsia="en-AU"/>
              </w:rPr>
              <w:t>780</w:t>
            </w:r>
          </w:p>
        </w:tc>
        <w:tc>
          <w:tcPr>
            <w:tcW w:w="1134" w:type="dxa"/>
            <w:shd w:val="clear" w:color="auto" w:fill="auto"/>
            <w:noWrap/>
            <w:vAlign w:val="bottom"/>
            <w:hideMark/>
          </w:tcPr>
          <w:p w:rsidR="005B1350" w:rsidRPr="00006D33" w:rsidRDefault="005B1350" w:rsidP="00054651">
            <w:pPr>
              <w:contextualSpacing/>
              <w:jc w:val="right"/>
              <w:rPr>
                <w:i/>
                <w:color w:val="000000"/>
                <w:sz w:val="21"/>
                <w:szCs w:val="21"/>
                <w:lang w:val="en-AU" w:eastAsia="en-AU"/>
              </w:rPr>
            </w:pPr>
            <w:r w:rsidRPr="00006D33">
              <w:rPr>
                <w:i/>
                <w:color w:val="000000"/>
                <w:sz w:val="21"/>
                <w:szCs w:val="21"/>
                <w:lang w:val="en-US" w:eastAsia="en-AU"/>
              </w:rPr>
              <w:t>2,309</w:t>
            </w:r>
          </w:p>
        </w:tc>
        <w:tc>
          <w:tcPr>
            <w:tcW w:w="1418" w:type="dxa"/>
            <w:shd w:val="clear" w:color="auto" w:fill="auto"/>
            <w:noWrap/>
            <w:vAlign w:val="bottom"/>
            <w:hideMark/>
          </w:tcPr>
          <w:p w:rsidR="005B1350" w:rsidRPr="00006D33" w:rsidRDefault="005B1350" w:rsidP="00054651">
            <w:pPr>
              <w:contextualSpacing/>
              <w:jc w:val="right"/>
              <w:rPr>
                <w:i/>
                <w:color w:val="000000"/>
                <w:sz w:val="21"/>
                <w:szCs w:val="21"/>
                <w:lang w:val="en-AU" w:eastAsia="en-AU"/>
              </w:rPr>
            </w:pPr>
            <w:r w:rsidRPr="00006D33">
              <w:rPr>
                <w:i/>
                <w:color w:val="000000"/>
                <w:sz w:val="21"/>
                <w:szCs w:val="21"/>
                <w:lang w:val="en-US" w:eastAsia="en-AU"/>
              </w:rPr>
              <w:t>2,946</w:t>
            </w:r>
          </w:p>
        </w:tc>
        <w:tc>
          <w:tcPr>
            <w:tcW w:w="982" w:type="dxa"/>
            <w:shd w:val="clear" w:color="auto" w:fill="auto"/>
            <w:noWrap/>
            <w:vAlign w:val="bottom"/>
            <w:hideMark/>
          </w:tcPr>
          <w:p w:rsidR="005B1350" w:rsidRPr="00006D33" w:rsidRDefault="005B1350" w:rsidP="00054651">
            <w:pPr>
              <w:contextualSpacing/>
              <w:jc w:val="right"/>
              <w:rPr>
                <w:i/>
                <w:color w:val="000000"/>
                <w:sz w:val="21"/>
                <w:szCs w:val="21"/>
                <w:lang w:val="en-AU" w:eastAsia="en-AU"/>
              </w:rPr>
            </w:pPr>
            <w:r w:rsidRPr="00006D33">
              <w:rPr>
                <w:i/>
                <w:color w:val="000000"/>
                <w:sz w:val="21"/>
                <w:szCs w:val="21"/>
                <w:lang w:val="vi-VN" w:eastAsia="en-AU"/>
              </w:rPr>
              <w:t>6</w:t>
            </w:r>
            <w:r w:rsidRPr="00006D33">
              <w:rPr>
                <w:i/>
                <w:color w:val="000000"/>
                <w:sz w:val="21"/>
                <w:szCs w:val="21"/>
                <w:lang w:val="en-AU" w:eastAsia="en-AU"/>
              </w:rPr>
              <w:t>,</w:t>
            </w:r>
            <w:r w:rsidRPr="00006D33">
              <w:rPr>
                <w:i/>
                <w:color w:val="000000"/>
                <w:sz w:val="21"/>
                <w:szCs w:val="21"/>
                <w:lang w:val="vi-VN" w:eastAsia="en-AU"/>
              </w:rPr>
              <w:t>166</w:t>
            </w:r>
          </w:p>
        </w:tc>
      </w:tr>
      <w:tr w:rsidR="005B1350" w:rsidRPr="00B81639" w:rsidTr="0088357D">
        <w:trPr>
          <w:trHeight w:val="300"/>
          <w:jc w:val="center"/>
        </w:trPr>
        <w:tc>
          <w:tcPr>
            <w:tcW w:w="1848" w:type="dxa"/>
            <w:shd w:val="clear" w:color="auto" w:fill="auto"/>
            <w:noWrap/>
            <w:vAlign w:val="bottom"/>
            <w:hideMark/>
          </w:tcPr>
          <w:p w:rsidR="005B1350" w:rsidRPr="00B81639" w:rsidRDefault="005B1350" w:rsidP="00054651">
            <w:pPr>
              <w:contextualSpacing/>
              <w:jc w:val="right"/>
              <w:rPr>
                <w:color w:val="000000"/>
                <w:sz w:val="21"/>
                <w:szCs w:val="21"/>
                <w:lang w:val="en-AU" w:eastAsia="en-AU"/>
              </w:rPr>
            </w:pPr>
            <w:r>
              <w:rPr>
                <w:color w:val="000000"/>
                <w:sz w:val="21"/>
                <w:szCs w:val="21"/>
                <w:lang w:val="en-AU" w:eastAsia="en-AU"/>
              </w:rPr>
              <w:t>Tỷ lệ</w:t>
            </w:r>
          </w:p>
        </w:tc>
        <w:tc>
          <w:tcPr>
            <w:tcW w:w="1134" w:type="dxa"/>
            <w:shd w:val="clear" w:color="auto" w:fill="auto"/>
            <w:noWrap/>
            <w:vAlign w:val="bottom"/>
            <w:hideMark/>
          </w:tcPr>
          <w:p w:rsidR="005B1350" w:rsidRPr="00B81639" w:rsidRDefault="005B1350" w:rsidP="00054651">
            <w:pPr>
              <w:contextualSpacing/>
              <w:jc w:val="right"/>
              <w:rPr>
                <w:color w:val="000000"/>
                <w:sz w:val="21"/>
                <w:szCs w:val="21"/>
                <w:lang w:val="en-AU" w:eastAsia="en-AU"/>
              </w:rPr>
            </w:pPr>
            <w:r w:rsidRPr="00B81639">
              <w:rPr>
                <w:color w:val="000000"/>
                <w:sz w:val="21"/>
                <w:szCs w:val="21"/>
                <w:lang w:val="vi-VN" w:eastAsia="en-AU"/>
              </w:rPr>
              <w:t>96%</w:t>
            </w:r>
          </w:p>
        </w:tc>
        <w:tc>
          <w:tcPr>
            <w:tcW w:w="1417" w:type="dxa"/>
            <w:shd w:val="clear" w:color="auto" w:fill="auto"/>
            <w:noWrap/>
            <w:vAlign w:val="bottom"/>
            <w:hideMark/>
          </w:tcPr>
          <w:p w:rsidR="005B1350" w:rsidRPr="00B81639" w:rsidRDefault="005B1350" w:rsidP="00054651">
            <w:pPr>
              <w:contextualSpacing/>
              <w:jc w:val="right"/>
              <w:rPr>
                <w:color w:val="000000"/>
                <w:sz w:val="21"/>
                <w:szCs w:val="21"/>
                <w:lang w:val="en-AU" w:eastAsia="en-AU"/>
              </w:rPr>
            </w:pPr>
            <w:r w:rsidRPr="00B81639">
              <w:rPr>
                <w:color w:val="000000"/>
                <w:sz w:val="21"/>
                <w:szCs w:val="21"/>
                <w:lang w:val="vi-VN" w:eastAsia="en-AU"/>
              </w:rPr>
              <w:t>97%</w:t>
            </w:r>
          </w:p>
        </w:tc>
        <w:tc>
          <w:tcPr>
            <w:tcW w:w="1134" w:type="dxa"/>
            <w:shd w:val="clear" w:color="auto" w:fill="auto"/>
            <w:noWrap/>
            <w:vAlign w:val="bottom"/>
            <w:hideMark/>
          </w:tcPr>
          <w:p w:rsidR="005B1350" w:rsidRPr="00B81639" w:rsidRDefault="005B1350" w:rsidP="00054651">
            <w:pPr>
              <w:contextualSpacing/>
              <w:jc w:val="right"/>
              <w:rPr>
                <w:color w:val="000000"/>
                <w:sz w:val="21"/>
                <w:szCs w:val="21"/>
                <w:lang w:val="en-AU" w:eastAsia="en-AU"/>
              </w:rPr>
            </w:pPr>
            <w:r w:rsidRPr="00B81639">
              <w:rPr>
                <w:color w:val="000000"/>
                <w:sz w:val="21"/>
                <w:szCs w:val="21"/>
                <w:lang w:val="vi-VN" w:eastAsia="en-AU"/>
              </w:rPr>
              <w:t>89%</w:t>
            </w:r>
          </w:p>
        </w:tc>
        <w:tc>
          <w:tcPr>
            <w:tcW w:w="1134" w:type="dxa"/>
            <w:shd w:val="clear" w:color="auto" w:fill="auto"/>
            <w:noWrap/>
            <w:vAlign w:val="bottom"/>
            <w:hideMark/>
          </w:tcPr>
          <w:p w:rsidR="005B1350" w:rsidRPr="00B81639" w:rsidRDefault="005B1350" w:rsidP="00054651">
            <w:pPr>
              <w:contextualSpacing/>
              <w:jc w:val="right"/>
              <w:rPr>
                <w:color w:val="000000"/>
                <w:sz w:val="21"/>
                <w:szCs w:val="21"/>
                <w:lang w:val="en-AU" w:eastAsia="en-AU"/>
              </w:rPr>
            </w:pPr>
            <w:r w:rsidRPr="00B81639">
              <w:rPr>
                <w:color w:val="000000"/>
                <w:sz w:val="21"/>
                <w:szCs w:val="21"/>
                <w:lang w:val="en-US" w:eastAsia="en-AU"/>
              </w:rPr>
              <w:t>89%</w:t>
            </w:r>
          </w:p>
        </w:tc>
        <w:tc>
          <w:tcPr>
            <w:tcW w:w="1418" w:type="dxa"/>
            <w:shd w:val="clear" w:color="auto" w:fill="auto"/>
            <w:noWrap/>
            <w:vAlign w:val="bottom"/>
            <w:hideMark/>
          </w:tcPr>
          <w:p w:rsidR="005B1350" w:rsidRPr="00B81639" w:rsidRDefault="005B1350" w:rsidP="00054651">
            <w:pPr>
              <w:contextualSpacing/>
              <w:jc w:val="right"/>
              <w:rPr>
                <w:color w:val="000000"/>
                <w:sz w:val="21"/>
                <w:szCs w:val="21"/>
                <w:lang w:val="en-AU" w:eastAsia="en-AU"/>
              </w:rPr>
            </w:pPr>
            <w:r w:rsidRPr="00B81639">
              <w:rPr>
                <w:color w:val="000000"/>
                <w:sz w:val="21"/>
                <w:szCs w:val="21"/>
                <w:lang w:val="en-US" w:eastAsia="en-AU"/>
              </w:rPr>
              <w:t>95%</w:t>
            </w:r>
          </w:p>
        </w:tc>
        <w:tc>
          <w:tcPr>
            <w:tcW w:w="982" w:type="dxa"/>
            <w:shd w:val="clear" w:color="auto" w:fill="auto"/>
            <w:noWrap/>
            <w:vAlign w:val="bottom"/>
            <w:hideMark/>
          </w:tcPr>
          <w:p w:rsidR="005B1350" w:rsidRPr="00B81639" w:rsidRDefault="005B1350" w:rsidP="00054651">
            <w:pPr>
              <w:contextualSpacing/>
              <w:jc w:val="right"/>
              <w:rPr>
                <w:color w:val="000000"/>
                <w:sz w:val="21"/>
                <w:szCs w:val="21"/>
                <w:lang w:val="en-AU" w:eastAsia="en-AU"/>
              </w:rPr>
            </w:pPr>
            <w:r w:rsidRPr="00B81639">
              <w:rPr>
                <w:color w:val="000000"/>
                <w:sz w:val="21"/>
                <w:szCs w:val="21"/>
                <w:lang w:val="vi-VN" w:eastAsia="en-AU"/>
              </w:rPr>
              <w:t>82%</w:t>
            </w:r>
          </w:p>
        </w:tc>
      </w:tr>
    </w:tbl>
    <w:p w:rsidR="005B1350" w:rsidRDefault="005B1350" w:rsidP="00054651">
      <w:pPr>
        <w:pStyle w:val="BodyText"/>
        <w:contextualSpacing/>
        <w:jc w:val="both"/>
        <w:rPr>
          <w:lang w:val="en-US"/>
        </w:rPr>
      </w:pPr>
    </w:p>
    <w:p w:rsidR="005B1350" w:rsidRPr="00266CE2" w:rsidRDefault="005B1350" w:rsidP="00054651">
      <w:pPr>
        <w:pStyle w:val="BodyText"/>
        <w:contextualSpacing/>
        <w:jc w:val="both"/>
        <w:rPr>
          <w:sz w:val="26"/>
          <w:szCs w:val="26"/>
        </w:rPr>
      </w:pPr>
      <w:r w:rsidRPr="00266CE2">
        <w:rPr>
          <w:sz w:val="26"/>
          <w:szCs w:val="26"/>
          <w:lang w:val="en-US"/>
        </w:rPr>
        <w:t xml:space="preserve">Vĩnh Long là một trong số 9 tỉnh thực hiện Dự án Hoàn thiện và hiện đại hoá hệ thống quản lý đất đai Việt Nam (Dự án VLAP) do Ngân hàng Thế giới tài trợ trong giai đoạn </w:t>
      </w:r>
      <w:r w:rsidRPr="00266CE2">
        <w:rPr>
          <w:sz w:val="26"/>
          <w:szCs w:val="26"/>
          <w:lang w:val="en-US"/>
        </w:rPr>
        <w:lastRenderedPageBreak/>
        <w:t xml:space="preserve">từ 2009-2015. Vĩnh Long là tỉnh đi đầu trong triển khai Dự án với tiến độ rất tốt cùng với sự vào cuộc của toàn bộ hệ thống chính trị tỉnh cũng như sự tham gia khá tích cực của người sử dụng đất trên địa bản triển khai Dự án. Kết quả cấp </w:t>
      </w:r>
      <w:r w:rsidRPr="00266CE2">
        <w:rPr>
          <w:sz w:val="26"/>
          <w:szCs w:val="26"/>
        </w:rPr>
        <w:t>GCNQSDĐ</w:t>
      </w:r>
      <w:r>
        <w:rPr>
          <w:sz w:val="26"/>
          <w:szCs w:val="26"/>
        </w:rPr>
        <w:t xml:space="preserve"> của </w:t>
      </w:r>
      <w:r w:rsidRPr="00266CE2">
        <w:rPr>
          <w:sz w:val="26"/>
          <w:szCs w:val="26"/>
        </w:rPr>
        <w:t>tỉnh được nêu trong Bảng 1.</w:t>
      </w:r>
    </w:p>
    <w:p w:rsidR="005B1350" w:rsidRPr="00266CE2" w:rsidRDefault="005B1350" w:rsidP="00054651">
      <w:pPr>
        <w:pStyle w:val="BodyText"/>
        <w:tabs>
          <w:tab w:val="left" w:pos="6530"/>
        </w:tabs>
        <w:contextualSpacing/>
        <w:jc w:val="both"/>
        <w:rPr>
          <w:sz w:val="26"/>
          <w:szCs w:val="26"/>
        </w:rPr>
      </w:pPr>
      <w:r w:rsidRPr="00266CE2">
        <w:rPr>
          <w:sz w:val="26"/>
          <w:szCs w:val="26"/>
        </w:rPr>
        <w:tab/>
      </w:r>
    </w:p>
    <w:p w:rsidR="005B1350" w:rsidRPr="00266CE2" w:rsidRDefault="005B1350" w:rsidP="00054651">
      <w:pPr>
        <w:pStyle w:val="BodyText"/>
        <w:contextualSpacing/>
        <w:jc w:val="both"/>
        <w:rPr>
          <w:sz w:val="26"/>
          <w:szCs w:val="26"/>
        </w:rPr>
      </w:pPr>
      <w:r w:rsidRPr="00266CE2">
        <w:rPr>
          <w:sz w:val="26"/>
          <w:szCs w:val="26"/>
        </w:rPr>
        <w:t>Hệ thống quản lý đất đai của Vĩnh Long tương tự như các tỉnh, thành phố khác với Sở TNMT tại cấp tỉnh, 9 phòng TNMT tại 9 đơn vị hành chính cấp huyện. Tại cấp tỉnh, Văn phòng Đăng ký đất đai được hình thành với chi nhánh tại các huyện, thị xã, thành phố thực hiện hầu hết các hoạt động hành chính liên quan đến đất đai trực tiếp với người sử dụng đất. Cán bộ địa chính cấp xã giúp UBND cấp xã và Phòng TNMT các hoạt động có liên quan trên pham vi đơn vị hành chính.</w:t>
      </w:r>
    </w:p>
    <w:p w:rsidR="005B1350" w:rsidRPr="00266CE2" w:rsidRDefault="005B1350" w:rsidP="00054651">
      <w:pPr>
        <w:pStyle w:val="BodyText"/>
        <w:contextualSpacing/>
        <w:jc w:val="both"/>
        <w:rPr>
          <w:sz w:val="26"/>
          <w:szCs w:val="26"/>
        </w:rPr>
      </w:pPr>
    </w:p>
    <w:p w:rsidR="005B1350" w:rsidRPr="00266CE2" w:rsidRDefault="005B1350" w:rsidP="00054651">
      <w:pPr>
        <w:pStyle w:val="BodyText"/>
        <w:numPr>
          <w:ilvl w:val="1"/>
          <w:numId w:val="1"/>
        </w:numPr>
        <w:contextualSpacing/>
        <w:rPr>
          <w:b/>
          <w:sz w:val="26"/>
          <w:szCs w:val="26"/>
          <w:lang w:val="en-US"/>
        </w:rPr>
      </w:pPr>
      <w:r w:rsidRPr="00266CE2">
        <w:rPr>
          <w:b/>
          <w:sz w:val="26"/>
          <w:szCs w:val="26"/>
          <w:lang w:val="en-US"/>
        </w:rPr>
        <w:t>Lựa chọn địa bàn</w:t>
      </w:r>
    </w:p>
    <w:p w:rsidR="005B1350" w:rsidRPr="00266CE2" w:rsidRDefault="005B1350" w:rsidP="00054651">
      <w:pPr>
        <w:pStyle w:val="BodyText"/>
        <w:contextualSpacing/>
        <w:rPr>
          <w:b/>
          <w:sz w:val="26"/>
          <w:szCs w:val="26"/>
          <w:lang w:val="en-US"/>
        </w:rPr>
      </w:pPr>
    </w:p>
    <w:p w:rsidR="005B1350" w:rsidRPr="00266CE2" w:rsidRDefault="005B1350" w:rsidP="00054651">
      <w:pPr>
        <w:pStyle w:val="BodyText"/>
        <w:contextualSpacing/>
        <w:jc w:val="both"/>
        <w:rPr>
          <w:sz w:val="26"/>
          <w:szCs w:val="26"/>
          <w:lang w:val="en-US"/>
        </w:rPr>
      </w:pPr>
      <w:r w:rsidRPr="00266CE2">
        <w:rPr>
          <w:sz w:val="26"/>
          <w:szCs w:val="26"/>
          <w:lang w:val="en-US"/>
        </w:rPr>
        <w:t xml:space="preserve">Ba đơn vị hành chính xã đã được lựa chọn, đại diện cho cả ba loại cộng đồng dân cư trên địa bàn tỉnh: khu vực đô thị (Phường 2, thành phố Vĩnh Long), khu vực bán đô thị và khu vực nông thôn nông thôn (xã Trung Thành Tây và xã Trung Hiệp, huyện Vũng Liêm). </w:t>
      </w:r>
    </w:p>
    <w:p w:rsidR="005B1350" w:rsidRDefault="005B1350" w:rsidP="00054651">
      <w:pPr>
        <w:pStyle w:val="BodyText"/>
        <w:rPr>
          <w:sz w:val="22"/>
          <w:lang w:val="en-US"/>
        </w:rPr>
      </w:pPr>
    </w:p>
    <w:p w:rsidR="005B1350" w:rsidRDefault="005B1350" w:rsidP="00054651">
      <w:pPr>
        <w:pStyle w:val="BodyText"/>
        <w:jc w:val="both"/>
        <w:rPr>
          <w:sz w:val="22"/>
          <w:lang w:val="en-US"/>
        </w:rPr>
      </w:pPr>
      <w:r w:rsidRPr="00266CE2">
        <w:rPr>
          <w:sz w:val="26"/>
          <w:szCs w:val="26"/>
          <w:lang w:val="en-US"/>
        </w:rPr>
        <w:t>Lựa chọn này dựa trên số tiêu chí, bao gồm: sự phát triển về kỹ thuật, chuyên môn và tổ chức trong lĩnh vực đất đa; phân bố nhân khẩu học và phạm vi địa lý của các khu vực nghiên cứu điển hình; và sự cộng tác của cán bộ lãnh đạo tỉnh. Các tiêu chí khác bao gồm sự sẵn có của các dịch vụ công về đất đai, sự cam kết của tỉnh; và khả năng tiếp cận của các điều tra viên. Hồ sơ về tình trạng quản lý, sử dụng đất của ba khu vực không có sự khác biệt lớn so với kết quả toàn tỉnh nêu trong Bảng 1.</w:t>
      </w:r>
    </w:p>
    <w:p w:rsidR="005B1350" w:rsidRPr="005A77CD" w:rsidRDefault="005B1350" w:rsidP="00054651">
      <w:pPr>
        <w:pStyle w:val="BodyText"/>
        <w:rPr>
          <w:sz w:val="22"/>
          <w:lang w:val="en-US"/>
        </w:rPr>
      </w:pPr>
    </w:p>
    <w:p w:rsidR="005B1350" w:rsidRPr="00266CE2" w:rsidRDefault="005B1350" w:rsidP="00054651">
      <w:pPr>
        <w:pStyle w:val="BodyText"/>
        <w:numPr>
          <w:ilvl w:val="0"/>
          <w:numId w:val="1"/>
        </w:numPr>
        <w:rPr>
          <w:b/>
          <w:sz w:val="26"/>
          <w:szCs w:val="26"/>
          <w:lang w:val="en-US"/>
        </w:rPr>
      </w:pPr>
      <w:r w:rsidRPr="00266CE2">
        <w:rPr>
          <w:b/>
          <w:sz w:val="26"/>
          <w:szCs w:val="26"/>
          <w:lang w:val="en-US"/>
        </w:rPr>
        <w:t>KẾT QUẢ KHẢO SÁT</w:t>
      </w:r>
    </w:p>
    <w:p w:rsidR="005B1350" w:rsidRPr="00266CE2" w:rsidRDefault="005B1350" w:rsidP="00054651">
      <w:pPr>
        <w:pStyle w:val="BodyText"/>
        <w:jc w:val="both"/>
        <w:rPr>
          <w:sz w:val="26"/>
          <w:szCs w:val="26"/>
          <w:lang w:val="en-US"/>
        </w:rPr>
      </w:pPr>
    </w:p>
    <w:p w:rsidR="005B1350" w:rsidRPr="00266CE2" w:rsidRDefault="005B1350" w:rsidP="00054651">
      <w:pPr>
        <w:pStyle w:val="BodyText"/>
        <w:jc w:val="both"/>
        <w:rPr>
          <w:sz w:val="26"/>
          <w:szCs w:val="26"/>
          <w:lang w:val="en-US"/>
        </w:rPr>
      </w:pPr>
      <w:r w:rsidRPr="00266CE2">
        <w:rPr>
          <w:sz w:val="26"/>
          <w:szCs w:val="26"/>
          <w:lang w:val="en-US"/>
        </w:rPr>
        <w:t>Kết quả phỏng vấn, thảo luận và khảo sát bảng hỏi được trình bày dưới đây, tập trung vào ba nhóm: nhận thức của người dân về quyền sử dụng đất, tiếp cận dịch vụ đất đai và tiếp cận thông tin đất đai.</w:t>
      </w:r>
    </w:p>
    <w:p w:rsidR="005B1350" w:rsidRPr="00266CE2" w:rsidRDefault="005B1350" w:rsidP="00054651">
      <w:pPr>
        <w:pStyle w:val="BodyText"/>
        <w:jc w:val="both"/>
        <w:rPr>
          <w:sz w:val="26"/>
          <w:szCs w:val="26"/>
          <w:lang w:val="en-US"/>
        </w:rPr>
      </w:pPr>
    </w:p>
    <w:p w:rsidR="005B1350" w:rsidRPr="00266CE2" w:rsidRDefault="005B1350" w:rsidP="00054651">
      <w:pPr>
        <w:pStyle w:val="BodyText"/>
        <w:numPr>
          <w:ilvl w:val="1"/>
          <w:numId w:val="1"/>
        </w:numPr>
        <w:rPr>
          <w:b/>
          <w:sz w:val="26"/>
          <w:szCs w:val="26"/>
          <w:lang w:val="en-US"/>
        </w:rPr>
      </w:pPr>
      <w:r w:rsidRPr="00266CE2">
        <w:rPr>
          <w:b/>
          <w:sz w:val="26"/>
          <w:szCs w:val="26"/>
          <w:lang w:val="en-US"/>
        </w:rPr>
        <w:t>Nhận thức của người dân về quyền sử dụng đất</w:t>
      </w:r>
    </w:p>
    <w:p w:rsidR="005B1350" w:rsidRPr="00266CE2" w:rsidRDefault="005B1350" w:rsidP="00054651">
      <w:pPr>
        <w:pStyle w:val="BodyText"/>
        <w:jc w:val="both"/>
        <w:rPr>
          <w:sz w:val="26"/>
          <w:szCs w:val="26"/>
          <w:lang w:val="en-US"/>
        </w:rPr>
      </w:pPr>
    </w:p>
    <w:p w:rsidR="005B1350" w:rsidRPr="00266CE2" w:rsidRDefault="005B1350" w:rsidP="00054651">
      <w:pPr>
        <w:pStyle w:val="BodyText"/>
        <w:jc w:val="both"/>
        <w:rPr>
          <w:sz w:val="26"/>
          <w:szCs w:val="26"/>
          <w:lang w:val="en-US"/>
        </w:rPr>
      </w:pPr>
      <w:r w:rsidRPr="00266CE2">
        <w:rPr>
          <w:sz w:val="26"/>
          <w:szCs w:val="26"/>
          <w:lang w:val="en-US"/>
        </w:rPr>
        <w:t>Trước hết, phần này trình bày kết quả phân tích số liệu về sự hiểu biết của người dân đối với quyền sử dụng đất họ được hưởng và tầm quan trọng của các quyền này đối với họ. Sau đó, phần này sẽ đưa ra phát hiện thực tế về các rào cản và các vấn đề liên quan đến cung cấp dịch vụ đến đất đai và mong muốn của người sử dụng đất ở cấp cơ sở về quản lý đất đai.</w:t>
      </w:r>
    </w:p>
    <w:p w:rsidR="005B1350" w:rsidRPr="00266CE2" w:rsidRDefault="005B1350" w:rsidP="00054651">
      <w:pPr>
        <w:pStyle w:val="BodyText"/>
        <w:jc w:val="both"/>
        <w:rPr>
          <w:sz w:val="26"/>
          <w:szCs w:val="26"/>
          <w:lang w:val="en-US"/>
        </w:rPr>
      </w:pPr>
    </w:p>
    <w:p w:rsidR="005B1350" w:rsidRPr="00266CE2" w:rsidRDefault="005B1350" w:rsidP="00054651">
      <w:pPr>
        <w:pStyle w:val="BodyText"/>
        <w:jc w:val="both"/>
        <w:rPr>
          <w:sz w:val="26"/>
          <w:szCs w:val="26"/>
          <w:lang w:val="en-US"/>
        </w:rPr>
      </w:pPr>
      <w:r w:rsidRPr="00266CE2">
        <w:rPr>
          <w:sz w:val="26"/>
          <w:szCs w:val="26"/>
          <w:lang w:val="en-US"/>
        </w:rPr>
        <w:t xml:space="preserve">Trong số 122 phiếu trả lời, có 104 cá nhân và hộ gia đình (tương đương với 84,6% số người tham gia) đã được cấp giấy chứng nhận quyền sử dụng đất. Đây là số lượng lớn hơn mức trung bình (72%) do các tỉnh báo cáo cho BTNMT </w:t>
      </w:r>
      <w:r w:rsidRPr="00266CE2">
        <w:rPr>
          <w:noProof/>
          <w:sz w:val="26"/>
          <w:szCs w:val="26"/>
          <w:lang w:val="en-US"/>
        </w:rPr>
        <w:t>(NHTG, 2010)</w:t>
      </w:r>
      <w:r w:rsidRPr="00266CE2">
        <w:rPr>
          <w:sz w:val="26"/>
          <w:szCs w:val="26"/>
          <w:lang w:val="en-US"/>
        </w:rPr>
        <w:t xml:space="preserve"> và số liệu năm 2013 của TCQLĐĐ. Mặc dù vậy, chỉ có 69 cá nhân hộ gia đình (tương đương với 56,6%) có GCNQSDĐ đối với đất ở.</w:t>
      </w:r>
    </w:p>
    <w:p w:rsidR="005B1350" w:rsidRPr="00266CE2" w:rsidRDefault="005B1350" w:rsidP="00054651">
      <w:pPr>
        <w:pStyle w:val="BodyText"/>
        <w:jc w:val="both"/>
        <w:rPr>
          <w:sz w:val="26"/>
          <w:szCs w:val="26"/>
          <w:lang w:val="en-US"/>
        </w:rPr>
      </w:pPr>
    </w:p>
    <w:p w:rsidR="005B1350" w:rsidRPr="00266CE2" w:rsidRDefault="005B1350" w:rsidP="00054651">
      <w:pPr>
        <w:pStyle w:val="BodyText"/>
        <w:jc w:val="both"/>
        <w:rPr>
          <w:sz w:val="26"/>
          <w:szCs w:val="26"/>
          <w:lang w:val="en-US"/>
        </w:rPr>
      </w:pPr>
      <w:r w:rsidRPr="00266CE2">
        <w:rPr>
          <w:sz w:val="26"/>
          <w:szCs w:val="26"/>
          <w:lang w:val="en-US"/>
        </w:rPr>
        <w:t xml:space="preserve">Trong số 122 cá nhân, hộ gia đình được hỏi, chỉ có khoảng 61% cho thấy họ đã hiểu đầy đủ quyền sử dụng đất của chủ sử dụng đất như nêu trong Bảng 2. Bên cạnh đó, phần lớn những người tham gia thảo luận nhóm đã đồng ý rằng họ không hiểu rõ quyền sử dụng </w:t>
      </w:r>
      <w:r w:rsidRPr="00266CE2">
        <w:rPr>
          <w:sz w:val="26"/>
          <w:szCs w:val="26"/>
          <w:lang w:val="en-US"/>
        </w:rPr>
        <w:lastRenderedPageBreak/>
        <w:t>đất được đề cập trong Luật Đất đai và các văn bản pháp lý liên quan do việc sử dụng các thuật ngữ kỹ thuật và pháp lý phức tạp.</w:t>
      </w:r>
    </w:p>
    <w:p w:rsidR="005B1350" w:rsidRPr="00CF5E64" w:rsidRDefault="005B1350" w:rsidP="00054651">
      <w:pPr>
        <w:pStyle w:val="BodyText"/>
        <w:spacing w:before="120"/>
        <w:jc w:val="both"/>
        <w:rPr>
          <w:b/>
          <w:lang w:val="en-US"/>
        </w:rPr>
      </w:pPr>
      <w:r>
        <w:rPr>
          <w:b/>
          <w:sz w:val="22"/>
          <w:lang w:val="en-US"/>
        </w:rPr>
        <w:t>Bảng</w:t>
      </w:r>
      <w:r w:rsidRPr="00CF5E64">
        <w:rPr>
          <w:b/>
          <w:sz w:val="22"/>
          <w:lang w:val="en-US"/>
        </w:rPr>
        <w:t xml:space="preserve"> </w:t>
      </w:r>
      <w:r>
        <w:rPr>
          <w:b/>
          <w:sz w:val="22"/>
          <w:lang w:val="en-US"/>
        </w:rPr>
        <w:t>2</w:t>
      </w:r>
      <w:r w:rsidRPr="00CF5E64">
        <w:rPr>
          <w:b/>
          <w:sz w:val="22"/>
          <w:lang w:val="en-US"/>
        </w:rPr>
        <w:t xml:space="preserve">. </w:t>
      </w:r>
      <w:r>
        <w:rPr>
          <w:b/>
          <w:sz w:val="22"/>
          <w:lang w:val="en-US"/>
        </w:rPr>
        <w:t>Nhận thức về quyền sử dụng đất đai</w:t>
      </w:r>
    </w:p>
    <w:tbl>
      <w:tblPr>
        <w:tblW w:w="9067" w:type="dxa"/>
        <w:jc w:val="center"/>
        <w:tblBorders>
          <w:top w:val="single" w:sz="4" w:space="0" w:color="auto"/>
          <w:bottom w:val="single" w:sz="4" w:space="0" w:color="auto"/>
        </w:tblBorders>
        <w:tblLayout w:type="fixed"/>
        <w:tblLook w:val="04A0" w:firstRow="1" w:lastRow="0" w:firstColumn="1" w:lastColumn="0" w:noHBand="0" w:noVBand="1"/>
      </w:tblPr>
      <w:tblGrid>
        <w:gridCol w:w="2295"/>
        <w:gridCol w:w="1169"/>
        <w:gridCol w:w="1169"/>
        <w:gridCol w:w="1169"/>
        <w:gridCol w:w="1139"/>
        <w:gridCol w:w="1199"/>
        <w:gridCol w:w="927"/>
      </w:tblGrid>
      <w:tr w:rsidR="005B1350" w:rsidRPr="00B81639" w:rsidTr="0088357D">
        <w:trPr>
          <w:trHeight w:val="280"/>
          <w:jc w:val="center"/>
        </w:trPr>
        <w:tc>
          <w:tcPr>
            <w:tcW w:w="2295" w:type="dxa"/>
            <w:tcBorders>
              <w:top w:val="single" w:sz="4" w:space="0" w:color="auto"/>
              <w:bottom w:val="single" w:sz="4" w:space="0" w:color="auto"/>
            </w:tcBorders>
            <w:vAlign w:val="center"/>
          </w:tcPr>
          <w:p w:rsidR="005B1350" w:rsidRPr="00B81639" w:rsidRDefault="005B1350" w:rsidP="00054651">
            <w:pPr>
              <w:jc w:val="center"/>
              <w:rPr>
                <w:rFonts w:eastAsia="MS Mincho"/>
                <w:sz w:val="21"/>
                <w:szCs w:val="21"/>
                <w:lang w:eastAsia="ja-JP"/>
              </w:rPr>
            </w:pPr>
            <w:r>
              <w:rPr>
                <w:rFonts w:eastAsia="MS Mincho"/>
                <w:sz w:val="21"/>
                <w:szCs w:val="21"/>
                <w:lang w:eastAsia="ja-JP"/>
              </w:rPr>
              <w:t>Mức độ nhận thức</w:t>
            </w:r>
          </w:p>
        </w:tc>
        <w:tc>
          <w:tcPr>
            <w:tcW w:w="1169" w:type="dxa"/>
            <w:tcBorders>
              <w:top w:val="single" w:sz="4" w:space="0" w:color="auto"/>
              <w:bottom w:val="single" w:sz="4" w:space="0" w:color="auto"/>
            </w:tcBorders>
            <w:shd w:val="clear" w:color="auto" w:fill="auto"/>
            <w:noWrap/>
            <w:vAlign w:val="center"/>
          </w:tcPr>
          <w:p w:rsidR="005B1350" w:rsidRPr="00B81639" w:rsidRDefault="005B1350" w:rsidP="00054651">
            <w:pPr>
              <w:ind w:left="-57" w:right="-57"/>
              <w:jc w:val="center"/>
              <w:rPr>
                <w:rFonts w:eastAsia="MS Mincho"/>
                <w:sz w:val="21"/>
                <w:szCs w:val="21"/>
                <w:lang w:eastAsia="ja-JP"/>
              </w:rPr>
            </w:pPr>
            <w:r>
              <w:rPr>
                <w:rFonts w:eastAsia="MS Mincho"/>
                <w:sz w:val="21"/>
                <w:szCs w:val="21"/>
                <w:lang w:eastAsia="ja-JP"/>
              </w:rPr>
              <w:t>Không có</w:t>
            </w:r>
          </w:p>
        </w:tc>
        <w:tc>
          <w:tcPr>
            <w:tcW w:w="1169" w:type="dxa"/>
            <w:tcBorders>
              <w:top w:val="single" w:sz="4" w:space="0" w:color="auto"/>
              <w:bottom w:val="single" w:sz="4" w:space="0" w:color="auto"/>
            </w:tcBorders>
            <w:shd w:val="clear" w:color="auto" w:fill="auto"/>
            <w:noWrap/>
            <w:vAlign w:val="center"/>
          </w:tcPr>
          <w:p w:rsidR="005B1350" w:rsidRPr="00B81639" w:rsidRDefault="005B1350" w:rsidP="00054651">
            <w:pPr>
              <w:jc w:val="center"/>
              <w:rPr>
                <w:rFonts w:eastAsia="MS Mincho"/>
                <w:sz w:val="21"/>
                <w:szCs w:val="21"/>
                <w:lang w:eastAsia="ja-JP"/>
              </w:rPr>
            </w:pPr>
            <w:r>
              <w:rPr>
                <w:rFonts w:eastAsia="MS Mincho"/>
                <w:sz w:val="21"/>
                <w:szCs w:val="21"/>
                <w:lang w:eastAsia="ja-JP"/>
              </w:rPr>
              <w:t>Kém</w:t>
            </w:r>
          </w:p>
        </w:tc>
        <w:tc>
          <w:tcPr>
            <w:tcW w:w="1169" w:type="dxa"/>
            <w:tcBorders>
              <w:top w:val="single" w:sz="4" w:space="0" w:color="auto"/>
              <w:bottom w:val="single" w:sz="4" w:space="0" w:color="auto"/>
            </w:tcBorders>
            <w:shd w:val="clear" w:color="auto" w:fill="auto"/>
            <w:noWrap/>
            <w:vAlign w:val="center"/>
          </w:tcPr>
          <w:p w:rsidR="005B1350" w:rsidRPr="00B81639" w:rsidRDefault="005B1350" w:rsidP="00054651">
            <w:pPr>
              <w:jc w:val="center"/>
              <w:rPr>
                <w:rFonts w:eastAsia="MS Mincho"/>
                <w:sz w:val="21"/>
                <w:szCs w:val="21"/>
                <w:lang w:eastAsia="ja-JP"/>
              </w:rPr>
            </w:pPr>
            <w:r>
              <w:rPr>
                <w:rFonts w:eastAsia="MS Mincho"/>
                <w:sz w:val="21"/>
                <w:szCs w:val="21"/>
                <w:lang w:eastAsia="ja-JP"/>
              </w:rPr>
              <w:t>Trung bình</w:t>
            </w:r>
          </w:p>
        </w:tc>
        <w:tc>
          <w:tcPr>
            <w:tcW w:w="1139" w:type="dxa"/>
            <w:tcBorders>
              <w:top w:val="single" w:sz="4" w:space="0" w:color="auto"/>
              <w:bottom w:val="single" w:sz="4" w:space="0" w:color="auto"/>
            </w:tcBorders>
            <w:shd w:val="clear" w:color="auto" w:fill="auto"/>
            <w:noWrap/>
            <w:vAlign w:val="center"/>
          </w:tcPr>
          <w:p w:rsidR="005B1350" w:rsidRPr="00B81639" w:rsidRDefault="005B1350" w:rsidP="00054651">
            <w:pPr>
              <w:jc w:val="center"/>
              <w:rPr>
                <w:rFonts w:eastAsia="MS Mincho"/>
                <w:sz w:val="21"/>
                <w:szCs w:val="21"/>
                <w:lang w:eastAsia="ja-JP"/>
              </w:rPr>
            </w:pPr>
            <w:r>
              <w:rPr>
                <w:rFonts w:eastAsia="MS Mincho"/>
                <w:sz w:val="21"/>
                <w:szCs w:val="21"/>
                <w:lang w:eastAsia="ja-JP"/>
              </w:rPr>
              <w:t>Khá</w:t>
            </w:r>
          </w:p>
        </w:tc>
        <w:tc>
          <w:tcPr>
            <w:tcW w:w="1199" w:type="dxa"/>
            <w:tcBorders>
              <w:top w:val="single" w:sz="4" w:space="0" w:color="auto"/>
              <w:bottom w:val="single" w:sz="4" w:space="0" w:color="auto"/>
            </w:tcBorders>
            <w:shd w:val="clear" w:color="auto" w:fill="auto"/>
            <w:noWrap/>
            <w:vAlign w:val="center"/>
          </w:tcPr>
          <w:p w:rsidR="005B1350" w:rsidRPr="00B81639" w:rsidRDefault="005B1350" w:rsidP="00054651">
            <w:pPr>
              <w:jc w:val="center"/>
              <w:rPr>
                <w:rFonts w:eastAsia="MS Mincho"/>
                <w:sz w:val="21"/>
                <w:szCs w:val="21"/>
                <w:lang w:eastAsia="ja-JP"/>
              </w:rPr>
            </w:pPr>
            <w:r>
              <w:rPr>
                <w:rFonts w:eastAsia="MS Mincho"/>
                <w:sz w:val="21"/>
                <w:szCs w:val="21"/>
                <w:lang w:eastAsia="ja-JP"/>
              </w:rPr>
              <w:t>Tốt</w:t>
            </w:r>
          </w:p>
        </w:tc>
        <w:tc>
          <w:tcPr>
            <w:tcW w:w="927" w:type="dxa"/>
            <w:tcBorders>
              <w:top w:val="single" w:sz="4" w:space="0" w:color="auto"/>
              <w:bottom w:val="single" w:sz="4" w:space="0" w:color="auto"/>
            </w:tcBorders>
          </w:tcPr>
          <w:p w:rsidR="005B1350" w:rsidRPr="00B81639" w:rsidRDefault="005B1350" w:rsidP="00054651">
            <w:pPr>
              <w:jc w:val="center"/>
              <w:rPr>
                <w:rFonts w:eastAsia="MS Mincho"/>
                <w:sz w:val="21"/>
                <w:szCs w:val="21"/>
                <w:lang w:eastAsia="ja-JP"/>
              </w:rPr>
            </w:pPr>
            <w:r>
              <w:rPr>
                <w:rFonts w:eastAsia="MS Mincho"/>
                <w:sz w:val="21"/>
                <w:szCs w:val="21"/>
                <w:lang w:eastAsia="ja-JP"/>
              </w:rPr>
              <w:t>Tổng</w:t>
            </w:r>
          </w:p>
        </w:tc>
      </w:tr>
      <w:tr w:rsidR="005B1350" w:rsidRPr="00B81639" w:rsidTr="0088357D">
        <w:trPr>
          <w:trHeight w:val="280"/>
          <w:jc w:val="center"/>
        </w:trPr>
        <w:tc>
          <w:tcPr>
            <w:tcW w:w="2295" w:type="dxa"/>
            <w:tcBorders>
              <w:top w:val="single" w:sz="4" w:space="0" w:color="auto"/>
            </w:tcBorders>
            <w:vAlign w:val="center"/>
          </w:tcPr>
          <w:p w:rsidR="005B1350" w:rsidRPr="00B81639" w:rsidRDefault="005B1350" w:rsidP="00054651">
            <w:pPr>
              <w:rPr>
                <w:rFonts w:eastAsia="MS Mincho"/>
                <w:sz w:val="21"/>
                <w:szCs w:val="21"/>
                <w:lang w:eastAsia="ja-JP"/>
              </w:rPr>
            </w:pPr>
            <w:r>
              <w:rPr>
                <w:rFonts w:eastAsia="MS Mincho"/>
                <w:sz w:val="21"/>
                <w:szCs w:val="21"/>
                <w:lang w:eastAsia="ja-JP"/>
              </w:rPr>
              <w:t>Số lượng câu trả lời</w:t>
            </w:r>
          </w:p>
        </w:tc>
        <w:tc>
          <w:tcPr>
            <w:tcW w:w="1169" w:type="dxa"/>
            <w:tcBorders>
              <w:top w:val="single" w:sz="4" w:space="0" w:color="auto"/>
            </w:tcBorders>
            <w:shd w:val="clear" w:color="auto" w:fill="auto"/>
            <w:noWrap/>
            <w:vAlign w:val="center"/>
          </w:tcPr>
          <w:p w:rsidR="005B1350" w:rsidRPr="00B81639" w:rsidRDefault="005B1350" w:rsidP="00054651">
            <w:pPr>
              <w:jc w:val="center"/>
              <w:rPr>
                <w:sz w:val="21"/>
                <w:szCs w:val="21"/>
                <w:lang w:eastAsia="en-AU"/>
              </w:rPr>
            </w:pPr>
            <w:r w:rsidRPr="00B81639">
              <w:rPr>
                <w:rFonts w:eastAsia="MS Mincho"/>
                <w:sz w:val="21"/>
                <w:szCs w:val="21"/>
                <w:lang w:eastAsia="ja-JP"/>
              </w:rPr>
              <w:t>2</w:t>
            </w:r>
          </w:p>
        </w:tc>
        <w:tc>
          <w:tcPr>
            <w:tcW w:w="1169" w:type="dxa"/>
            <w:tcBorders>
              <w:top w:val="single" w:sz="4" w:space="0" w:color="auto"/>
            </w:tcBorders>
            <w:shd w:val="clear" w:color="auto" w:fill="auto"/>
            <w:noWrap/>
            <w:vAlign w:val="center"/>
          </w:tcPr>
          <w:p w:rsidR="005B1350" w:rsidRPr="00B81639" w:rsidRDefault="005B1350" w:rsidP="00054651">
            <w:pPr>
              <w:jc w:val="center"/>
              <w:rPr>
                <w:sz w:val="21"/>
                <w:szCs w:val="21"/>
                <w:lang w:eastAsia="en-AU"/>
              </w:rPr>
            </w:pPr>
            <w:r w:rsidRPr="00B81639">
              <w:rPr>
                <w:rFonts w:eastAsia="MS Mincho"/>
                <w:sz w:val="21"/>
                <w:szCs w:val="21"/>
                <w:lang w:eastAsia="ja-JP"/>
              </w:rPr>
              <w:t>24</w:t>
            </w:r>
          </w:p>
        </w:tc>
        <w:tc>
          <w:tcPr>
            <w:tcW w:w="1169" w:type="dxa"/>
            <w:tcBorders>
              <w:top w:val="single" w:sz="4" w:space="0" w:color="auto"/>
            </w:tcBorders>
            <w:shd w:val="clear" w:color="auto" w:fill="auto"/>
            <w:noWrap/>
            <w:vAlign w:val="center"/>
          </w:tcPr>
          <w:p w:rsidR="005B1350" w:rsidRPr="00B81639" w:rsidRDefault="005B1350" w:rsidP="00054651">
            <w:pPr>
              <w:jc w:val="center"/>
              <w:rPr>
                <w:sz w:val="21"/>
                <w:szCs w:val="21"/>
                <w:lang w:eastAsia="en-AU"/>
              </w:rPr>
            </w:pPr>
            <w:r w:rsidRPr="00B81639">
              <w:rPr>
                <w:rFonts w:eastAsia="MS Mincho"/>
                <w:sz w:val="21"/>
                <w:szCs w:val="21"/>
                <w:lang w:eastAsia="ja-JP"/>
              </w:rPr>
              <w:t>75</w:t>
            </w:r>
          </w:p>
        </w:tc>
        <w:tc>
          <w:tcPr>
            <w:tcW w:w="1139" w:type="dxa"/>
            <w:tcBorders>
              <w:top w:val="single" w:sz="4" w:space="0" w:color="auto"/>
            </w:tcBorders>
            <w:shd w:val="clear" w:color="auto" w:fill="auto"/>
            <w:noWrap/>
            <w:vAlign w:val="center"/>
          </w:tcPr>
          <w:p w:rsidR="005B1350" w:rsidRPr="00B81639" w:rsidRDefault="005B1350" w:rsidP="00054651">
            <w:pPr>
              <w:jc w:val="center"/>
              <w:rPr>
                <w:sz w:val="21"/>
                <w:szCs w:val="21"/>
                <w:lang w:eastAsia="en-AU"/>
              </w:rPr>
            </w:pPr>
            <w:r w:rsidRPr="00B81639">
              <w:rPr>
                <w:rFonts w:eastAsia="MS Mincho"/>
                <w:sz w:val="21"/>
                <w:szCs w:val="21"/>
                <w:lang w:eastAsia="ja-JP"/>
              </w:rPr>
              <w:t>16</w:t>
            </w:r>
          </w:p>
        </w:tc>
        <w:tc>
          <w:tcPr>
            <w:tcW w:w="1199" w:type="dxa"/>
            <w:tcBorders>
              <w:top w:val="single" w:sz="4" w:space="0" w:color="auto"/>
            </w:tcBorders>
            <w:shd w:val="clear" w:color="auto" w:fill="auto"/>
            <w:noWrap/>
            <w:vAlign w:val="center"/>
          </w:tcPr>
          <w:p w:rsidR="005B1350" w:rsidRPr="00B81639" w:rsidRDefault="005B1350" w:rsidP="00054651">
            <w:pPr>
              <w:jc w:val="center"/>
              <w:rPr>
                <w:sz w:val="21"/>
                <w:szCs w:val="21"/>
                <w:lang w:eastAsia="en-AU"/>
              </w:rPr>
            </w:pPr>
            <w:r w:rsidRPr="00B81639">
              <w:rPr>
                <w:rFonts w:eastAsia="MS Mincho"/>
                <w:sz w:val="21"/>
                <w:szCs w:val="21"/>
                <w:lang w:eastAsia="ja-JP"/>
              </w:rPr>
              <w:t>5</w:t>
            </w:r>
          </w:p>
        </w:tc>
        <w:tc>
          <w:tcPr>
            <w:tcW w:w="927" w:type="dxa"/>
            <w:tcBorders>
              <w:top w:val="single" w:sz="4" w:space="0" w:color="auto"/>
            </w:tcBorders>
            <w:vAlign w:val="center"/>
          </w:tcPr>
          <w:p w:rsidR="005B1350" w:rsidRPr="00B81639" w:rsidRDefault="005B1350" w:rsidP="00054651">
            <w:pPr>
              <w:jc w:val="center"/>
              <w:rPr>
                <w:rFonts w:eastAsia="MS Mincho"/>
                <w:sz w:val="21"/>
                <w:szCs w:val="21"/>
                <w:lang w:eastAsia="ja-JP"/>
              </w:rPr>
            </w:pPr>
            <w:r>
              <w:rPr>
                <w:rFonts w:eastAsia="MS Mincho"/>
                <w:sz w:val="21"/>
                <w:szCs w:val="21"/>
                <w:lang w:eastAsia="ja-JP"/>
              </w:rPr>
              <w:t>122</w:t>
            </w:r>
          </w:p>
        </w:tc>
      </w:tr>
      <w:tr w:rsidR="005B1350" w:rsidRPr="00B81639" w:rsidTr="0088357D">
        <w:trPr>
          <w:trHeight w:val="280"/>
          <w:jc w:val="center"/>
        </w:trPr>
        <w:tc>
          <w:tcPr>
            <w:tcW w:w="2295" w:type="dxa"/>
            <w:vAlign w:val="center"/>
          </w:tcPr>
          <w:p w:rsidR="005B1350" w:rsidRPr="00B81639" w:rsidRDefault="005B1350" w:rsidP="00054651">
            <w:pPr>
              <w:jc w:val="right"/>
              <w:rPr>
                <w:rFonts w:eastAsia="MS Mincho"/>
                <w:sz w:val="21"/>
                <w:szCs w:val="21"/>
                <w:lang w:eastAsia="ja-JP"/>
              </w:rPr>
            </w:pPr>
            <w:r>
              <w:rPr>
                <w:rFonts w:eastAsia="MS Mincho"/>
                <w:sz w:val="21"/>
                <w:szCs w:val="21"/>
                <w:lang w:eastAsia="ja-JP"/>
              </w:rPr>
              <w:t xml:space="preserve">Tỷ lệ </w:t>
            </w:r>
            <w:r w:rsidRPr="00B81639">
              <w:rPr>
                <w:rFonts w:eastAsia="MS Mincho"/>
                <w:sz w:val="21"/>
                <w:szCs w:val="21"/>
                <w:lang w:eastAsia="ja-JP"/>
              </w:rPr>
              <w:t>(%)</w:t>
            </w:r>
          </w:p>
        </w:tc>
        <w:tc>
          <w:tcPr>
            <w:tcW w:w="1169" w:type="dxa"/>
            <w:shd w:val="clear" w:color="auto" w:fill="auto"/>
            <w:noWrap/>
            <w:vAlign w:val="center"/>
            <w:hideMark/>
          </w:tcPr>
          <w:p w:rsidR="005B1350" w:rsidRPr="00B81639" w:rsidRDefault="005B1350" w:rsidP="00054651">
            <w:pPr>
              <w:jc w:val="center"/>
              <w:rPr>
                <w:rFonts w:eastAsia="MS Mincho"/>
                <w:sz w:val="21"/>
                <w:szCs w:val="21"/>
                <w:lang w:eastAsia="ja-JP"/>
              </w:rPr>
            </w:pPr>
            <w:r w:rsidRPr="00B81639">
              <w:rPr>
                <w:rFonts w:eastAsia="MS Mincho"/>
                <w:sz w:val="21"/>
                <w:szCs w:val="21"/>
                <w:lang w:eastAsia="ja-JP"/>
              </w:rPr>
              <w:t>2%</w:t>
            </w:r>
          </w:p>
        </w:tc>
        <w:tc>
          <w:tcPr>
            <w:tcW w:w="1169" w:type="dxa"/>
            <w:shd w:val="clear" w:color="auto" w:fill="auto"/>
            <w:noWrap/>
            <w:vAlign w:val="center"/>
            <w:hideMark/>
          </w:tcPr>
          <w:p w:rsidR="005B1350" w:rsidRPr="00B81639" w:rsidRDefault="005B1350" w:rsidP="00054651">
            <w:pPr>
              <w:jc w:val="center"/>
              <w:rPr>
                <w:rFonts w:eastAsia="MS Mincho"/>
                <w:sz w:val="21"/>
                <w:szCs w:val="21"/>
                <w:lang w:eastAsia="ja-JP"/>
              </w:rPr>
            </w:pPr>
            <w:r w:rsidRPr="00B81639">
              <w:rPr>
                <w:rFonts w:eastAsia="MS Mincho"/>
                <w:sz w:val="21"/>
                <w:szCs w:val="21"/>
                <w:lang w:eastAsia="ja-JP"/>
              </w:rPr>
              <w:t>20%</w:t>
            </w:r>
          </w:p>
        </w:tc>
        <w:tc>
          <w:tcPr>
            <w:tcW w:w="1169" w:type="dxa"/>
            <w:shd w:val="clear" w:color="auto" w:fill="auto"/>
            <w:noWrap/>
            <w:vAlign w:val="center"/>
            <w:hideMark/>
          </w:tcPr>
          <w:p w:rsidR="005B1350" w:rsidRPr="00B81639" w:rsidRDefault="005B1350" w:rsidP="00054651">
            <w:pPr>
              <w:jc w:val="center"/>
              <w:rPr>
                <w:rFonts w:eastAsia="MS Mincho"/>
                <w:sz w:val="21"/>
                <w:szCs w:val="21"/>
                <w:lang w:eastAsia="ja-JP"/>
              </w:rPr>
            </w:pPr>
            <w:r w:rsidRPr="00B81639">
              <w:rPr>
                <w:rFonts w:eastAsia="MS Mincho"/>
                <w:sz w:val="21"/>
                <w:szCs w:val="21"/>
                <w:lang w:eastAsia="ja-JP"/>
              </w:rPr>
              <w:t>61%</w:t>
            </w:r>
          </w:p>
        </w:tc>
        <w:tc>
          <w:tcPr>
            <w:tcW w:w="1139" w:type="dxa"/>
            <w:shd w:val="clear" w:color="auto" w:fill="auto"/>
            <w:noWrap/>
            <w:vAlign w:val="center"/>
            <w:hideMark/>
          </w:tcPr>
          <w:p w:rsidR="005B1350" w:rsidRPr="00B81639" w:rsidRDefault="005B1350" w:rsidP="00054651">
            <w:pPr>
              <w:jc w:val="center"/>
              <w:rPr>
                <w:rFonts w:eastAsia="MS Mincho"/>
                <w:sz w:val="21"/>
                <w:szCs w:val="21"/>
                <w:lang w:eastAsia="ja-JP"/>
              </w:rPr>
            </w:pPr>
            <w:r w:rsidRPr="00B81639">
              <w:rPr>
                <w:rFonts w:eastAsia="MS Mincho"/>
                <w:sz w:val="21"/>
                <w:szCs w:val="21"/>
                <w:lang w:eastAsia="ja-JP"/>
              </w:rPr>
              <w:t>13%</w:t>
            </w:r>
          </w:p>
        </w:tc>
        <w:tc>
          <w:tcPr>
            <w:tcW w:w="1199" w:type="dxa"/>
            <w:shd w:val="clear" w:color="auto" w:fill="auto"/>
            <w:noWrap/>
            <w:vAlign w:val="center"/>
            <w:hideMark/>
          </w:tcPr>
          <w:p w:rsidR="005B1350" w:rsidRPr="00B81639" w:rsidRDefault="005B1350" w:rsidP="00054651">
            <w:pPr>
              <w:jc w:val="center"/>
              <w:rPr>
                <w:rFonts w:eastAsia="MS Mincho"/>
                <w:sz w:val="21"/>
                <w:szCs w:val="21"/>
                <w:lang w:eastAsia="ja-JP"/>
              </w:rPr>
            </w:pPr>
            <w:r w:rsidRPr="00B81639">
              <w:rPr>
                <w:rFonts w:eastAsia="MS Mincho"/>
                <w:sz w:val="21"/>
                <w:szCs w:val="21"/>
                <w:lang w:eastAsia="ja-JP"/>
              </w:rPr>
              <w:t>4%</w:t>
            </w:r>
          </w:p>
        </w:tc>
        <w:tc>
          <w:tcPr>
            <w:tcW w:w="927" w:type="dxa"/>
            <w:vAlign w:val="center"/>
          </w:tcPr>
          <w:p w:rsidR="005B1350" w:rsidRPr="00B81639" w:rsidRDefault="005B1350" w:rsidP="00054651">
            <w:pPr>
              <w:jc w:val="center"/>
              <w:rPr>
                <w:rFonts w:eastAsia="MS Mincho"/>
                <w:sz w:val="21"/>
                <w:szCs w:val="21"/>
                <w:lang w:eastAsia="ja-JP"/>
              </w:rPr>
            </w:pPr>
            <w:r>
              <w:rPr>
                <w:rFonts w:eastAsia="MS Mincho"/>
                <w:sz w:val="21"/>
                <w:szCs w:val="21"/>
                <w:lang w:eastAsia="ja-JP"/>
              </w:rPr>
              <w:t>100%</w:t>
            </w:r>
          </w:p>
        </w:tc>
      </w:tr>
      <w:tr w:rsidR="005B1350" w:rsidRPr="00B81639" w:rsidTr="0088357D">
        <w:trPr>
          <w:trHeight w:val="280"/>
          <w:jc w:val="center"/>
        </w:trPr>
        <w:tc>
          <w:tcPr>
            <w:tcW w:w="2295" w:type="dxa"/>
            <w:vAlign w:val="center"/>
          </w:tcPr>
          <w:p w:rsidR="005B1350" w:rsidRPr="00B81639" w:rsidRDefault="005B1350" w:rsidP="00054651">
            <w:pPr>
              <w:jc w:val="right"/>
              <w:rPr>
                <w:rFonts w:eastAsia="MS Mincho"/>
                <w:i/>
                <w:sz w:val="21"/>
                <w:szCs w:val="21"/>
                <w:lang w:eastAsia="ja-JP"/>
              </w:rPr>
            </w:pPr>
            <w:r>
              <w:rPr>
                <w:rFonts w:eastAsia="MS Mincho"/>
                <w:i/>
                <w:sz w:val="21"/>
                <w:szCs w:val="21"/>
                <w:lang w:eastAsia="ja-JP"/>
              </w:rPr>
              <w:t>Có GCNQSDĐ</w:t>
            </w:r>
          </w:p>
        </w:tc>
        <w:tc>
          <w:tcPr>
            <w:tcW w:w="1169" w:type="dxa"/>
            <w:shd w:val="clear" w:color="auto" w:fill="auto"/>
            <w:noWrap/>
            <w:vAlign w:val="center"/>
          </w:tcPr>
          <w:p w:rsidR="005B1350" w:rsidRPr="00B81639" w:rsidRDefault="005B1350" w:rsidP="00054651">
            <w:pPr>
              <w:jc w:val="center"/>
              <w:rPr>
                <w:rFonts w:eastAsia="MS Mincho"/>
                <w:i/>
                <w:sz w:val="21"/>
                <w:szCs w:val="21"/>
                <w:lang w:eastAsia="ja-JP"/>
              </w:rPr>
            </w:pPr>
            <w:r w:rsidRPr="00B81639">
              <w:rPr>
                <w:rFonts w:eastAsia="MS Mincho"/>
                <w:i/>
                <w:sz w:val="21"/>
                <w:szCs w:val="21"/>
                <w:lang w:eastAsia="ja-JP"/>
              </w:rPr>
              <w:t>2</w:t>
            </w:r>
          </w:p>
        </w:tc>
        <w:tc>
          <w:tcPr>
            <w:tcW w:w="1169" w:type="dxa"/>
            <w:shd w:val="clear" w:color="auto" w:fill="auto"/>
            <w:noWrap/>
            <w:vAlign w:val="center"/>
          </w:tcPr>
          <w:p w:rsidR="005B1350" w:rsidRPr="00B81639" w:rsidRDefault="005B1350" w:rsidP="00054651">
            <w:pPr>
              <w:jc w:val="center"/>
              <w:rPr>
                <w:rFonts w:eastAsia="MS Mincho"/>
                <w:i/>
                <w:sz w:val="21"/>
                <w:szCs w:val="21"/>
                <w:lang w:eastAsia="ja-JP"/>
              </w:rPr>
            </w:pPr>
            <w:r w:rsidRPr="00B81639">
              <w:rPr>
                <w:rFonts w:eastAsia="MS Mincho"/>
                <w:i/>
                <w:sz w:val="21"/>
                <w:szCs w:val="21"/>
                <w:lang w:eastAsia="ja-JP"/>
              </w:rPr>
              <w:t>17</w:t>
            </w:r>
          </w:p>
        </w:tc>
        <w:tc>
          <w:tcPr>
            <w:tcW w:w="1169" w:type="dxa"/>
            <w:shd w:val="clear" w:color="auto" w:fill="auto"/>
            <w:noWrap/>
            <w:vAlign w:val="center"/>
          </w:tcPr>
          <w:p w:rsidR="005B1350" w:rsidRPr="00B81639" w:rsidRDefault="005B1350" w:rsidP="00054651">
            <w:pPr>
              <w:jc w:val="center"/>
              <w:rPr>
                <w:rFonts w:eastAsia="MS Mincho"/>
                <w:i/>
                <w:sz w:val="21"/>
                <w:szCs w:val="21"/>
                <w:lang w:eastAsia="ja-JP"/>
              </w:rPr>
            </w:pPr>
            <w:r w:rsidRPr="00B81639">
              <w:rPr>
                <w:rFonts w:eastAsia="MS Mincho"/>
                <w:i/>
                <w:sz w:val="21"/>
                <w:szCs w:val="21"/>
                <w:lang w:eastAsia="ja-JP"/>
              </w:rPr>
              <w:t>67</w:t>
            </w:r>
          </w:p>
        </w:tc>
        <w:tc>
          <w:tcPr>
            <w:tcW w:w="1139" w:type="dxa"/>
            <w:shd w:val="clear" w:color="auto" w:fill="auto"/>
            <w:noWrap/>
            <w:vAlign w:val="center"/>
          </w:tcPr>
          <w:p w:rsidR="005B1350" w:rsidRPr="00B81639" w:rsidRDefault="005B1350" w:rsidP="00054651">
            <w:pPr>
              <w:jc w:val="center"/>
              <w:rPr>
                <w:rFonts w:eastAsia="MS Mincho"/>
                <w:i/>
                <w:sz w:val="21"/>
                <w:szCs w:val="21"/>
                <w:lang w:eastAsia="ja-JP"/>
              </w:rPr>
            </w:pPr>
            <w:r w:rsidRPr="00B81639">
              <w:rPr>
                <w:rFonts w:eastAsia="MS Mincho"/>
                <w:i/>
                <w:sz w:val="21"/>
                <w:szCs w:val="21"/>
                <w:lang w:eastAsia="ja-JP"/>
              </w:rPr>
              <w:t>13</w:t>
            </w:r>
          </w:p>
        </w:tc>
        <w:tc>
          <w:tcPr>
            <w:tcW w:w="1199" w:type="dxa"/>
            <w:shd w:val="clear" w:color="auto" w:fill="auto"/>
            <w:noWrap/>
            <w:vAlign w:val="center"/>
          </w:tcPr>
          <w:p w:rsidR="005B1350" w:rsidRPr="00B81639" w:rsidRDefault="005B1350" w:rsidP="00054651">
            <w:pPr>
              <w:jc w:val="center"/>
              <w:rPr>
                <w:rFonts w:eastAsia="MS Mincho"/>
                <w:i/>
                <w:sz w:val="21"/>
                <w:szCs w:val="21"/>
                <w:lang w:eastAsia="ja-JP"/>
              </w:rPr>
            </w:pPr>
            <w:r w:rsidRPr="00B81639">
              <w:rPr>
                <w:rFonts w:eastAsia="MS Mincho"/>
                <w:i/>
                <w:sz w:val="21"/>
                <w:szCs w:val="21"/>
                <w:lang w:eastAsia="ja-JP"/>
              </w:rPr>
              <w:t>5</w:t>
            </w:r>
          </w:p>
        </w:tc>
        <w:tc>
          <w:tcPr>
            <w:tcW w:w="927" w:type="dxa"/>
            <w:vAlign w:val="center"/>
          </w:tcPr>
          <w:p w:rsidR="005B1350" w:rsidRPr="00B81639" w:rsidRDefault="005B1350" w:rsidP="00054651">
            <w:pPr>
              <w:jc w:val="center"/>
              <w:rPr>
                <w:rFonts w:eastAsia="MS Mincho"/>
                <w:i/>
                <w:sz w:val="21"/>
                <w:szCs w:val="21"/>
                <w:lang w:eastAsia="ja-JP"/>
              </w:rPr>
            </w:pPr>
            <w:r>
              <w:rPr>
                <w:rFonts w:eastAsia="MS Mincho"/>
                <w:i/>
                <w:sz w:val="21"/>
                <w:szCs w:val="21"/>
                <w:lang w:eastAsia="ja-JP"/>
              </w:rPr>
              <w:t>104</w:t>
            </w:r>
          </w:p>
        </w:tc>
      </w:tr>
      <w:tr w:rsidR="005B1350" w:rsidRPr="00B81639" w:rsidTr="0088357D">
        <w:trPr>
          <w:trHeight w:val="280"/>
          <w:jc w:val="center"/>
        </w:trPr>
        <w:tc>
          <w:tcPr>
            <w:tcW w:w="2295" w:type="dxa"/>
            <w:vAlign w:val="center"/>
          </w:tcPr>
          <w:p w:rsidR="005B1350" w:rsidRPr="00B81639" w:rsidRDefault="005B1350" w:rsidP="00054651">
            <w:pPr>
              <w:jc w:val="right"/>
              <w:rPr>
                <w:rFonts w:eastAsia="MS Mincho"/>
                <w:i/>
                <w:sz w:val="21"/>
                <w:szCs w:val="21"/>
                <w:lang w:eastAsia="ja-JP"/>
              </w:rPr>
            </w:pPr>
            <w:r>
              <w:rPr>
                <w:rFonts w:eastAsia="MS Mincho"/>
                <w:i/>
                <w:sz w:val="21"/>
                <w:szCs w:val="21"/>
                <w:lang w:eastAsia="ja-JP"/>
              </w:rPr>
              <w:t>Không có GCNQSDĐ</w:t>
            </w:r>
          </w:p>
        </w:tc>
        <w:tc>
          <w:tcPr>
            <w:tcW w:w="1169" w:type="dxa"/>
            <w:shd w:val="clear" w:color="auto" w:fill="auto"/>
            <w:noWrap/>
            <w:vAlign w:val="center"/>
          </w:tcPr>
          <w:p w:rsidR="005B1350" w:rsidRPr="00B81639" w:rsidRDefault="005B1350" w:rsidP="00054651">
            <w:pPr>
              <w:jc w:val="center"/>
              <w:rPr>
                <w:rFonts w:eastAsia="MS Mincho"/>
                <w:i/>
                <w:sz w:val="21"/>
                <w:szCs w:val="21"/>
                <w:lang w:eastAsia="ja-JP"/>
              </w:rPr>
            </w:pPr>
            <w:r w:rsidRPr="00B81639">
              <w:rPr>
                <w:rFonts w:eastAsia="MS Mincho"/>
                <w:i/>
                <w:sz w:val="21"/>
                <w:szCs w:val="21"/>
                <w:lang w:eastAsia="ja-JP"/>
              </w:rPr>
              <w:t>0</w:t>
            </w:r>
          </w:p>
        </w:tc>
        <w:tc>
          <w:tcPr>
            <w:tcW w:w="1169" w:type="dxa"/>
            <w:shd w:val="clear" w:color="auto" w:fill="auto"/>
            <w:noWrap/>
            <w:vAlign w:val="center"/>
          </w:tcPr>
          <w:p w:rsidR="005B1350" w:rsidRPr="00B81639" w:rsidRDefault="005B1350" w:rsidP="00054651">
            <w:pPr>
              <w:jc w:val="center"/>
              <w:rPr>
                <w:rFonts w:eastAsia="MS Mincho"/>
                <w:i/>
                <w:sz w:val="21"/>
                <w:szCs w:val="21"/>
                <w:lang w:eastAsia="ja-JP"/>
              </w:rPr>
            </w:pPr>
            <w:r w:rsidRPr="00B81639">
              <w:rPr>
                <w:rFonts w:eastAsia="MS Mincho"/>
                <w:i/>
                <w:sz w:val="21"/>
                <w:szCs w:val="21"/>
                <w:lang w:eastAsia="ja-JP"/>
              </w:rPr>
              <w:t>7</w:t>
            </w:r>
          </w:p>
        </w:tc>
        <w:tc>
          <w:tcPr>
            <w:tcW w:w="1169" w:type="dxa"/>
            <w:shd w:val="clear" w:color="auto" w:fill="auto"/>
            <w:noWrap/>
            <w:vAlign w:val="center"/>
          </w:tcPr>
          <w:p w:rsidR="005B1350" w:rsidRPr="00B81639" w:rsidRDefault="005B1350" w:rsidP="00054651">
            <w:pPr>
              <w:jc w:val="center"/>
              <w:rPr>
                <w:rFonts w:eastAsia="MS Mincho"/>
                <w:i/>
                <w:sz w:val="21"/>
                <w:szCs w:val="21"/>
                <w:lang w:eastAsia="ja-JP"/>
              </w:rPr>
            </w:pPr>
            <w:r w:rsidRPr="00B81639">
              <w:rPr>
                <w:rFonts w:eastAsia="MS Mincho"/>
                <w:i/>
                <w:sz w:val="21"/>
                <w:szCs w:val="21"/>
                <w:lang w:eastAsia="ja-JP"/>
              </w:rPr>
              <w:t>8</w:t>
            </w:r>
          </w:p>
        </w:tc>
        <w:tc>
          <w:tcPr>
            <w:tcW w:w="1139" w:type="dxa"/>
            <w:shd w:val="clear" w:color="auto" w:fill="auto"/>
            <w:noWrap/>
            <w:vAlign w:val="center"/>
          </w:tcPr>
          <w:p w:rsidR="005B1350" w:rsidRPr="00B81639" w:rsidRDefault="005B1350" w:rsidP="00054651">
            <w:pPr>
              <w:jc w:val="center"/>
              <w:rPr>
                <w:rFonts w:eastAsia="MS Mincho"/>
                <w:i/>
                <w:sz w:val="21"/>
                <w:szCs w:val="21"/>
                <w:lang w:eastAsia="ja-JP"/>
              </w:rPr>
            </w:pPr>
            <w:r w:rsidRPr="00B81639">
              <w:rPr>
                <w:rFonts w:eastAsia="MS Mincho"/>
                <w:i/>
                <w:sz w:val="21"/>
                <w:szCs w:val="21"/>
                <w:lang w:eastAsia="ja-JP"/>
              </w:rPr>
              <w:t>3</w:t>
            </w:r>
          </w:p>
        </w:tc>
        <w:tc>
          <w:tcPr>
            <w:tcW w:w="1199" w:type="dxa"/>
            <w:shd w:val="clear" w:color="auto" w:fill="auto"/>
            <w:noWrap/>
            <w:vAlign w:val="center"/>
          </w:tcPr>
          <w:p w:rsidR="005B1350" w:rsidRPr="00B81639" w:rsidRDefault="005B1350" w:rsidP="00054651">
            <w:pPr>
              <w:jc w:val="center"/>
              <w:rPr>
                <w:rFonts w:eastAsia="MS Mincho"/>
                <w:i/>
                <w:sz w:val="21"/>
                <w:szCs w:val="21"/>
                <w:lang w:eastAsia="ja-JP"/>
              </w:rPr>
            </w:pPr>
            <w:r w:rsidRPr="00B81639">
              <w:rPr>
                <w:rFonts w:eastAsia="MS Mincho"/>
                <w:i/>
                <w:sz w:val="21"/>
                <w:szCs w:val="21"/>
                <w:lang w:eastAsia="ja-JP"/>
              </w:rPr>
              <w:t>0</w:t>
            </w:r>
          </w:p>
        </w:tc>
        <w:tc>
          <w:tcPr>
            <w:tcW w:w="927" w:type="dxa"/>
            <w:vAlign w:val="center"/>
          </w:tcPr>
          <w:p w:rsidR="005B1350" w:rsidRPr="00B81639" w:rsidRDefault="005B1350" w:rsidP="00054651">
            <w:pPr>
              <w:jc w:val="center"/>
              <w:rPr>
                <w:rFonts w:eastAsia="MS Mincho"/>
                <w:i/>
                <w:sz w:val="21"/>
                <w:szCs w:val="21"/>
                <w:lang w:eastAsia="ja-JP"/>
              </w:rPr>
            </w:pPr>
            <w:r>
              <w:rPr>
                <w:rFonts w:eastAsia="MS Mincho"/>
                <w:i/>
                <w:sz w:val="21"/>
                <w:szCs w:val="21"/>
                <w:lang w:eastAsia="ja-JP"/>
              </w:rPr>
              <w:t>18</w:t>
            </w:r>
          </w:p>
        </w:tc>
      </w:tr>
      <w:tr w:rsidR="005B1350" w:rsidRPr="00B81639" w:rsidTr="0088357D">
        <w:trPr>
          <w:trHeight w:val="280"/>
          <w:jc w:val="center"/>
        </w:trPr>
        <w:tc>
          <w:tcPr>
            <w:tcW w:w="2295" w:type="dxa"/>
            <w:vAlign w:val="center"/>
          </w:tcPr>
          <w:p w:rsidR="005B1350" w:rsidRPr="00B81639" w:rsidRDefault="005B1350" w:rsidP="00054651">
            <w:pPr>
              <w:jc w:val="right"/>
              <w:rPr>
                <w:rFonts w:eastAsia="MS Mincho"/>
                <w:i/>
                <w:sz w:val="21"/>
                <w:szCs w:val="21"/>
                <w:lang w:eastAsia="ja-JP"/>
              </w:rPr>
            </w:pPr>
            <w:r>
              <w:rPr>
                <w:rFonts w:eastAsia="MS Mincho"/>
                <w:i/>
                <w:sz w:val="21"/>
                <w:szCs w:val="21"/>
                <w:lang w:eastAsia="ja-JP"/>
              </w:rPr>
              <w:t>Nam giới</w:t>
            </w:r>
          </w:p>
        </w:tc>
        <w:tc>
          <w:tcPr>
            <w:tcW w:w="1169" w:type="dxa"/>
            <w:shd w:val="clear" w:color="auto" w:fill="auto"/>
            <w:noWrap/>
            <w:vAlign w:val="center"/>
          </w:tcPr>
          <w:p w:rsidR="005B1350" w:rsidRPr="00B81639" w:rsidRDefault="005B1350" w:rsidP="00054651">
            <w:pPr>
              <w:jc w:val="center"/>
              <w:rPr>
                <w:rFonts w:eastAsia="MS Mincho"/>
                <w:i/>
                <w:sz w:val="21"/>
                <w:szCs w:val="21"/>
                <w:lang w:eastAsia="ja-JP"/>
              </w:rPr>
            </w:pPr>
            <w:r w:rsidRPr="00B81639">
              <w:rPr>
                <w:rFonts w:eastAsia="MS Mincho"/>
                <w:i/>
                <w:sz w:val="21"/>
                <w:szCs w:val="21"/>
                <w:lang w:eastAsia="ja-JP"/>
              </w:rPr>
              <w:t>2</w:t>
            </w:r>
          </w:p>
        </w:tc>
        <w:tc>
          <w:tcPr>
            <w:tcW w:w="1169" w:type="dxa"/>
            <w:shd w:val="clear" w:color="auto" w:fill="auto"/>
            <w:noWrap/>
            <w:vAlign w:val="center"/>
          </w:tcPr>
          <w:p w:rsidR="005B1350" w:rsidRPr="00B81639" w:rsidRDefault="005B1350" w:rsidP="00054651">
            <w:pPr>
              <w:jc w:val="center"/>
              <w:rPr>
                <w:rFonts w:eastAsia="MS Mincho"/>
                <w:i/>
                <w:sz w:val="21"/>
                <w:szCs w:val="21"/>
                <w:lang w:eastAsia="ja-JP"/>
              </w:rPr>
            </w:pPr>
            <w:r w:rsidRPr="00B81639">
              <w:rPr>
                <w:rFonts w:eastAsia="MS Mincho"/>
                <w:i/>
                <w:sz w:val="21"/>
                <w:szCs w:val="21"/>
                <w:lang w:eastAsia="ja-JP"/>
              </w:rPr>
              <w:t>13</w:t>
            </w:r>
          </w:p>
        </w:tc>
        <w:tc>
          <w:tcPr>
            <w:tcW w:w="1169" w:type="dxa"/>
            <w:shd w:val="clear" w:color="auto" w:fill="auto"/>
            <w:noWrap/>
            <w:vAlign w:val="center"/>
          </w:tcPr>
          <w:p w:rsidR="005B1350" w:rsidRPr="00B81639" w:rsidRDefault="005B1350" w:rsidP="00054651">
            <w:pPr>
              <w:jc w:val="center"/>
              <w:rPr>
                <w:rFonts w:eastAsia="MS Mincho"/>
                <w:i/>
                <w:sz w:val="21"/>
                <w:szCs w:val="21"/>
                <w:lang w:eastAsia="ja-JP"/>
              </w:rPr>
            </w:pPr>
            <w:r w:rsidRPr="00B81639">
              <w:rPr>
                <w:rFonts w:eastAsia="MS Mincho"/>
                <w:i/>
                <w:sz w:val="21"/>
                <w:szCs w:val="21"/>
                <w:lang w:eastAsia="ja-JP"/>
              </w:rPr>
              <w:t>40</w:t>
            </w:r>
          </w:p>
        </w:tc>
        <w:tc>
          <w:tcPr>
            <w:tcW w:w="1139" w:type="dxa"/>
            <w:shd w:val="clear" w:color="auto" w:fill="auto"/>
            <w:noWrap/>
            <w:vAlign w:val="center"/>
          </w:tcPr>
          <w:p w:rsidR="005B1350" w:rsidRPr="00B81639" w:rsidRDefault="005B1350" w:rsidP="00054651">
            <w:pPr>
              <w:jc w:val="center"/>
              <w:rPr>
                <w:rFonts w:eastAsia="MS Mincho"/>
                <w:i/>
                <w:sz w:val="21"/>
                <w:szCs w:val="21"/>
                <w:lang w:eastAsia="ja-JP"/>
              </w:rPr>
            </w:pPr>
            <w:r w:rsidRPr="00B81639">
              <w:rPr>
                <w:rFonts w:eastAsia="MS Mincho"/>
                <w:i/>
                <w:sz w:val="21"/>
                <w:szCs w:val="21"/>
                <w:lang w:eastAsia="ja-JP"/>
              </w:rPr>
              <w:t>10</w:t>
            </w:r>
          </w:p>
        </w:tc>
        <w:tc>
          <w:tcPr>
            <w:tcW w:w="1199" w:type="dxa"/>
            <w:shd w:val="clear" w:color="auto" w:fill="auto"/>
            <w:noWrap/>
            <w:vAlign w:val="center"/>
          </w:tcPr>
          <w:p w:rsidR="005B1350" w:rsidRPr="00B81639" w:rsidRDefault="005B1350" w:rsidP="00054651">
            <w:pPr>
              <w:jc w:val="center"/>
              <w:rPr>
                <w:rFonts w:eastAsia="MS Mincho"/>
                <w:i/>
                <w:sz w:val="21"/>
                <w:szCs w:val="21"/>
                <w:lang w:eastAsia="ja-JP"/>
              </w:rPr>
            </w:pPr>
            <w:r w:rsidRPr="00B81639">
              <w:rPr>
                <w:rFonts w:eastAsia="MS Mincho"/>
                <w:i/>
                <w:sz w:val="21"/>
                <w:szCs w:val="21"/>
                <w:lang w:eastAsia="ja-JP"/>
              </w:rPr>
              <w:t>4</w:t>
            </w:r>
          </w:p>
        </w:tc>
        <w:tc>
          <w:tcPr>
            <w:tcW w:w="927" w:type="dxa"/>
            <w:vAlign w:val="center"/>
          </w:tcPr>
          <w:p w:rsidR="005B1350" w:rsidRPr="00B81639" w:rsidRDefault="005B1350" w:rsidP="00054651">
            <w:pPr>
              <w:jc w:val="center"/>
              <w:rPr>
                <w:rFonts w:eastAsia="MS Mincho"/>
                <w:i/>
                <w:sz w:val="21"/>
                <w:szCs w:val="21"/>
                <w:lang w:eastAsia="ja-JP"/>
              </w:rPr>
            </w:pPr>
            <w:r>
              <w:rPr>
                <w:rFonts w:eastAsia="MS Mincho"/>
                <w:i/>
                <w:sz w:val="21"/>
                <w:szCs w:val="21"/>
                <w:lang w:eastAsia="ja-JP"/>
              </w:rPr>
              <w:t>69</w:t>
            </w:r>
          </w:p>
        </w:tc>
      </w:tr>
      <w:tr w:rsidR="005B1350" w:rsidRPr="00B81639" w:rsidTr="0088357D">
        <w:trPr>
          <w:trHeight w:val="280"/>
          <w:jc w:val="center"/>
        </w:trPr>
        <w:tc>
          <w:tcPr>
            <w:tcW w:w="2295" w:type="dxa"/>
            <w:vAlign w:val="center"/>
          </w:tcPr>
          <w:p w:rsidR="005B1350" w:rsidRPr="00B81639" w:rsidRDefault="005B1350" w:rsidP="00054651">
            <w:pPr>
              <w:jc w:val="right"/>
              <w:rPr>
                <w:rFonts w:eastAsia="MS Mincho"/>
                <w:i/>
                <w:sz w:val="21"/>
                <w:szCs w:val="21"/>
                <w:lang w:eastAsia="ja-JP"/>
              </w:rPr>
            </w:pPr>
            <w:r>
              <w:rPr>
                <w:rFonts w:eastAsia="MS Mincho"/>
                <w:i/>
                <w:sz w:val="21"/>
                <w:szCs w:val="21"/>
                <w:lang w:eastAsia="ja-JP"/>
              </w:rPr>
              <w:t>Nữ giới</w:t>
            </w:r>
          </w:p>
        </w:tc>
        <w:tc>
          <w:tcPr>
            <w:tcW w:w="1169" w:type="dxa"/>
            <w:shd w:val="clear" w:color="auto" w:fill="auto"/>
            <w:noWrap/>
            <w:vAlign w:val="center"/>
          </w:tcPr>
          <w:p w:rsidR="005B1350" w:rsidRPr="00B81639" w:rsidRDefault="005B1350" w:rsidP="00054651">
            <w:pPr>
              <w:jc w:val="center"/>
              <w:rPr>
                <w:rFonts w:eastAsia="MS Mincho"/>
                <w:i/>
                <w:sz w:val="21"/>
                <w:szCs w:val="21"/>
                <w:lang w:eastAsia="ja-JP"/>
              </w:rPr>
            </w:pPr>
            <w:r w:rsidRPr="00B81639">
              <w:rPr>
                <w:rFonts w:eastAsia="MS Mincho"/>
                <w:i/>
                <w:sz w:val="21"/>
                <w:szCs w:val="21"/>
                <w:lang w:eastAsia="ja-JP"/>
              </w:rPr>
              <w:t>0</w:t>
            </w:r>
          </w:p>
        </w:tc>
        <w:tc>
          <w:tcPr>
            <w:tcW w:w="1169" w:type="dxa"/>
            <w:shd w:val="clear" w:color="auto" w:fill="auto"/>
            <w:noWrap/>
            <w:vAlign w:val="center"/>
          </w:tcPr>
          <w:p w:rsidR="005B1350" w:rsidRPr="00B81639" w:rsidRDefault="005B1350" w:rsidP="00054651">
            <w:pPr>
              <w:jc w:val="center"/>
              <w:rPr>
                <w:rFonts w:eastAsia="MS Mincho"/>
                <w:i/>
                <w:sz w:val="21"/>
                <w:szCs w:val="21"/>
                <w:lang w:eastAsia="ja-JP"/>
              </w:rPr>
            </w:pPr>
            <w:r w:rsidRPr="00B81639">
              <w:rPr>
                <w:rFonts w:eastAsia="MS Mincho"/>
                <w:i/>
                <w:sz w:val="21"/>
                <w:szCs w:val="21"/>
                <w:lang w:eastAsia="ja-JP"/>
              </w:rPr>
              <w:t>11</w:t>
            </w:r>
          </w:p>
        </w:tc>
        <w:tc>
          <w:tcPr>
            <w:tcW w:w="1169" w:type="dxa"/>
            <w:shd w:val="clear" w:color="auto" w:fill="auto"/>
            <w:noWrap/>
            <w:vAlign w:val="center"/>
          </w:tcPr>
          <w:p w:rsidR="005B1350" w:rsidRPr="00B81639" w:rsidRDefault="005B1350" w:rsidP="00054651">
            <w:pPr>
              <w:jc w:val="center"/>
              <w:rPr>
                <w:rFonts w:eastAsia="MS Mincho"/>
                <w:i/>
                <w:sz w:val="21"/>
                <w:szCs w:val="21"/>
                <w:lang w:eastAsia="ja-JP"/>
              </w:rPr>
            </w:pPr>
            <w:r w:rsidRPr="00B81639">
              <w:rPr>
                <w:rFonts w:eastAsia="MS Mincho"/>
                <w:i/>
                <w:sz w:val="21"/>
                <w:szCs w:val="21"/>
                <w:lang w:eastAsia="ja-JP"/>
              </w:rPr>
              <w:t>35</w:t>
            </w:r>
          </w:p>
        </w:tc>
        <w:tc>
          <w:tcPr>
            <w:tcW w:w="1139" w:type="dxa"/>
            <w:shd w:val="clear" w:color="auto" w:fill="auto"/>
            <w:noWrap/>
            <w:vAlign w:val="center"/>
          </w:tcPr>
          <w:p w:rsidR="005B1350" w:rsidRPr="00B81639" w:rsidRDefault="005B1350" w:rsidP="00054651">
            <w:pPr>
              <w:jc w:val="center"/>
              <w:rPr>
                <w:rFonts w:eastAsia="MS Mincho"/>
                <w:i/>
                <w:sz w:val="21"/>
                <w:szCs w:val="21"/>
                <w:lang w:eastAsia="ja-JP"/>
              </w:rPr>
            </w:pPr>
            <w:r w:rsidRPr="00B81639">
              <w:rPr>
                <w:rFonts w:eastAsia="MS Mincho"/>
                <w:i/>
                <w:sz w:val="21"/>
                <w:szCs w:val="21"/>
                <w:lang w:eastAsia="ja-JP"/>
              </w:rPr>
              <w:t>6</w:t>
            </w:r>
          </w:p>
        </w:tc>
        <w:tc>
          <w:tcPr>
            <w:tcW w:w="1199" w:type="dxa"/>
            <w:shd w:val="clear" w:color="auto" w:fill="auto"/>
            <w:noWrap/>
            <w:vAlign w:val="center"/>
          </w:tcPr>
          <w:p w:rsidR="005B1350" w:rsidRPr="00B81639" w:rsidRDefault="005B1350" w:rsidP="00054651">
            <w:pPr>
              <w:jc w:val="center"/>
              <w:rPr>
                <w:rFonts w:eastAsia="MS Mincho"/>
                <w:i/>
                <w:sz w:val="21"/>
                <w:szCs w:val="21"/>
                <w:lang w:eastAsia="ja-JP"/>
              </w:rPr>
            </w:pPr>
            <w:r w:rsidRPr="00B81639">
              <w:rPr>
                <w:rFonts w:eastAsia="MS Mincho"/>
                <w:i/>
                <w:sz w:val="21"/>
                <w:szCs w:val="21"/>
                <w:lang w:eastAsia="ja-JP"/>
              </w:rPr>
              <w:t>1</w:t>
            </w:r>
          </w:p>
        </w:tc>
        <w:tc>
          <w:tcPr>
            <w:tcW w:w="927" w:type="dxa"/>
            <w:vAlign w:val="center"/>
          </w:tcPr>
          <w:p w:rsidR="005B1350" w:rsidRPr="00B81639" w:rsidRDefault="005B1350" w:rsidP="00054651">
            <w:pPr>
              <w:jc w:val="center"/>
              <w:rPr>
                <w:rFonts w:eastAsia="MS Mincho"/>
                <w:i/>
                <w:sz w:val="21"/>
                <w:szCs w:val="21"/>
                <w:lang w:eastAsia="ja-JP"/>
              </w:rPr>
            </w:pPr>
            <w:r>
              <w:rPr>
                <w:rFonts w:eastAsia="MS Mincho"/>
                <w:i/>
                <w:sz w:val="21"/>
                <w:szCs w:val="21"/>
                <w:lang w:eastAsia="ja-JP"/>
              </w:rPr>
              <w:t>53</w:t>
            </w:r>
          </w:p>
        </w:tc>
      </w:tr>
    </w:tbl>
    <w:p w:rsidR="005B1350" w:rsidRDefault="005B1350" w:rsidP="00054651">
      <w:pPr>
        <w:pStyle w:val="BodyText"/>
        <w:jc w:val="both"/>
        <w:rPr>
          <w:lang w:val="en-US"/>
        </w:rPr>
      </w:pPr>
    </w:p>
    <w:p w:rsidR="005B1350" w:rsidRPr="00266CE2" w:rsidRDefault="005B1350" w:rsidP="00054651">
      <w:pPr>
        <w:pStyle w:val="BodyText"/>
        <w:jc w:val="both"/>
        <w:rPr>
          <w:sz w:val="26"/>
          <w:szCs w:val="26"/>
          <w:lang w:val="en-US"/>
        </w:rPr>
      </w:pPr>
      <w:r w:rsidRPr="00266CE2">
        <w:rPr>
          <w:sz w:val="26"/>
          <w:szCs w:val="26"/>
          <w:lang w:val="en-US"/>
        </w:rPr>
        <w:t>Bảng 2 ở trên cũng phản ánh nhận thức về quyền sử dụng đất (bao gồm các hạn chế và trách nhiệm) của cả nam và nữ. Không có sự khác nhau đáng kể về sự hiểu biết về quyền sử dụng đất giữa nam và nữ. Tỷ lệ nam giới (78,26%) thừa nhận rằng sự hiểu biết của họ về quyền sử dụng đất ở mức độ trên trung bình là thấp hơn chút ít so với nữ giới (79,25%). Kết quả này phần nào phản ánh hiệu quả của chiến dịch nâng cao nhận thức cộng đồng được thực hiện trong Dự án VLAP đối với nữ giới trong những năm gần đây. Bên cạnh đó, bất chấp việc họ đã được hay chưa được GCNQSDĐ, sự hiểu biết của họ về quyền sử dụng đất là không có sự khác biệt đáng kể.</w:t>
      </w:r>
    </w:p>
    <w:p w:rsidR="005B1350" w:rsidRPr="00266CE2" w:rsidRDefault="005B1350" w:rsidP="00054651">
      <w:pPr>
        <w:pStyle w:val="BodyText"/>
        <w:jc w:val="both"/>
        <w:rPr>
          <w:sz w:val="26"/>
          <w:szCs w:val="26"/>
          <w:lang w:val="en-US"/>
        </w:rPr>
      </w:pPr>
      <w:r w:rsidRPr="00266CE2">
        <w:rPr>
          <w:sz w:val="26"/>
          <w:szCs w:val="26"/>
          <w:lang w:val="en-US"/>
        </w:rPr>
        <w:t>Trong cuộc họp thảo luận nhóm thực hiện tại khu vực đô thị, khoảng 80% số người tham dự cho biết họ hiểu rõ về quyền sử dụng đất của họ. Một số người trong số họ có thể liệt kê các quyền của người sử dụng đất được luật pháp quy định; những người khác có thể liệt kê các quyền này bằng ngôn ngữ phổ thông, khác biệt với các thuật ngữ được đề cập trong các văn bản pháp luật. Họ cũng có thể cung cấp các ví dụ minh hoạ để người khác hiểu. Mặc dù các cá nhân tham gia thảo luận nhận thức được rằng họ có thể thế chấp GCNQSDĐ để tiếp cận các khoản vay từ các ngân hàng thương mại, nhưng họ vẫn lúng túng về các thủ tục và mức cho vay. Đa số người tham dự không định giá chính xác được giá trị của thửa đất của họ dù một vài trong số đó đã thế chấp GCNQSDĐ để vay tiền ngân hàng. Trong hầu hết các trường hợp, họ đã không hiểu về thủ tục định giá đất. Người vay chỉ đơn giản tin rằng các ngân hàng thương mại đã áp dụng đúng mức giá do Chính phủ quy định. Quan sát và thảo luận với người dân địa phương chỉ ra rằng: do hạn chế về vốn và các thủ tục phức tạp nên nhiều người sử dụng đất, đặc biệt là nông dân thường do dự khi tiếp cận các ngân hàng thương mại hay các tổ chức tín dụng để tiếp cận khoản vay. Không quan tâm đến lãi suất và rủi ro cao, nhiều người vẫn tìm đến "tín dụng đen", đặc biệt là trong các trường hợp khẩn cấp.</w:t>
      </w:r>
    </w:p>
    <w:p w:rsidR="005B1350" w:rsidRPr="00266CE2" w:rsidRDefault="005B1350" w:rsidP="00054651">
      <w:pPr>
        <w:pStyle w:val="BodyText"/>
        <w:jc w:val="both"/>
        <w:rPr>
          <w:b/>
          <w:sz w:val="26"/>
          <w:szCs w:val="26"/>
          <w:lang w:val="en-US"/>
        </w:rPr>
      </w:pPr>
    </w:p>
    <w:p w:rsidR="005B1350" w:rsidRPr="00CF5E64" w:rsidRDefault="005B1350" w:rsidP="00054651">
      <w:pPr>
        <w:pStyle w:val="BodyText"/>
        <w:jc w:val="both"/>
        <w:rPr>
          <w:b/>
          <w:sz w:val="22"/>
          <w:lang w:val="en-US"/>
        </w:rPr>
      </w:pPr>
      <w:r>
        <w:rPr>
          <w:b/>
          <w:sz w:val="22"/>
          <w:lang w:val="en-US"/>
        </w:rPr>
        <w:t>Bảng 3</w:t>
      </w:r>
      <w:r w:rsidRPr="00CF5E64">
        <w:rPr>
          <w:b/>
          <w:sz w:val="22"/>
          <w:lang w:val="en-US"/>
        </w:rPr>
        <w:t xml:space="preserve">: </w:t>
      </w:r>
      <w:r>
        <w:rPr>
          <w:b/>
          <w:sz w:val="22"/>
          <w:lang w:val="en-US"/>
        </w:rPr>
        <w:t>Sự quan trọng của quyền sử dụng đất đối với người dân</w:t>
      </w:r>
    </w:p>
    <w:tbl>
      <w:tblPr>
        <w:tblW w:w="9067" w:type="dxa"/>
        <w:jc w:val="center"/>
        <w:tblBorders>
          <w:top w:val="single" w:sz="4" w:space="0" w:color="auto"/>
          <w:bottom w:val="single" w:sz="4" w:space="0" w:color="auto"/>
        </w:tblBorders>
        <w:tblLayout w:type="fixed"/>
        <w:tblLook w:val="04A0" w:firstRow="1" w:lastRow="0" w:firstColumn="1" w:lastColumn="0" w:noHBand="0" w:noVBand="1"/>
      </w:tblPr>
      <w:tblGrid>
        <w:gridCol w:w="3990"/>
        <w:gridCol w:w="1984"/>
        <w:gridCol w:w="1560"/>
        <w:gridCol w:w="1533"/>
      </w:tblGrid>
      <w:tr w:rsidR="005B1350" w:rsidRPr="00CC74E0" w:rsidTr="0088357D">
        <w:trPr>
          <w:trHeight w:val="303"/>
          <w:jc w:val="center"/>
        </w:trPr>
        <w:tc>
          <w:tcPr>
            <w:tcW w:w="3990" w:type="dxa"/>
            <w:tcBorders>
              <w:top w:val="single" w:sz="4" w:space="0" w:color="auto"/>
              <w:bottom w:val="single" w:sz="4" w:space="0" w:color="auto"/>
            </w:tcBorders>
            <w:shd w:val="clear" w:color="auto" w:fill="auto"/>
            <w:vAlign w:val="center"/>
            <w:hideMark/>
          </w:tcPr>
          <w:p w:rsidR="005B1350" w:rsidRPr="00CC74E0" w:rsidRDefault="005B1350" w:rsidP="00054651">
            <w:pPr>
              <w:rPr>
                <w:b/>
                <w:bCs/>
                <w:color w:val="000000"/>
                <w:sz w:val="21"/>
                <w:szCs w:val="21"/>
                <w:lang w:eastAsia="en-AU"/>
              </w:rPr>
            </w:pPr>
            <w:r w:rsidRPr="00CC74E0">
              <w:rPr>
                <w:b/>
                <w:bCs/>
                <w:color w:val="000000"/>
                <w:sz w:val="21"/>
                <w:szCs w:val="21"/>
                <w:lang w:eastAsia="en-AU"/>
              </w:rPr>
              <w:t>Quyền sử dụng đất theo Luật Đất đai</w:t>
            </w:r>
          </w:p>
        </w:tc>
        <w:tc>
          <w:tcPr>
            <w:tcW w:w="1984" w:type="dxa"/>
            <w:tcBorders>
              <w:top w:val="single" w:sz="4" w:space="0" w:color="auto"/>
              <w:bottom w:val="single" w:sz="4" w:space="0" w:color="auto"/>
            </w:tcBorders>
            <w:shd w:val="clear" w:color="auto" w:fill="auto"/>
            <w:vAlign w:val="center"/>
            <w:hideMark/>
          </w:tcPr>
          <w:p w:rsidR="005B1350" w:rsidRPr="00CC74E0" w:rsidRDefault="005B1350" w:rsidP="00054651">
            <w:pPr>
              <w:jc w:val="center"/>
              <w:rPr>
                <w:b/>
                <w:color w:val="000000"/>
                <w:sz w:val="21"/>
                <w:szCs w:val="21"/>
                <w:lang w:eastAsia="en-AU"/>
              </w:rPr>
            </w:pPr>
            <w:r w:rsidRPr="00CC74E0">
              <w:rPr>
                <w:b/>
                <w:color w:val="000000"/>
                <w:sz w:val="21"/>
                <w:szCs w:val="21"/>
                <w:lang w:eastAsia="en-AU"/>
              </w:rPr>
              <w:t>Không</w:t>
            </w:r>
            <w:r>
              <w:rPr>
                <w:b/>
                <w:color w:val="000000"/>
                <w:sz w:val="21"/>
                <w:szCs w:val="21"/>
                <w:lang w:eastAsia="en-AU"/>
              </w:rPr>
              <w:t xml:space="preserve"> </w:t>
            </w:r>
            <w:r w:rsidRPr="00CC74E0">
              <w:rPr>
                <w:b/>
                <w:color w:val="000000"/>
                <w:sz w:val="21"/>
                <w:szCs w:val="21"/>
                <w:lang w:eastAsia="en-AU"/>
              </w:rPr>
              <w:t>quan trọng</w:t>
            </w:r>
          </w:p>
        </w:tc>
        <w:tc>
          <w:tcPr>
            <w:tcW w:w="1560" w:type="dxa"/>
            <w:tcBorders>
              <w:top w:val="single" w:sz="4" w:space="0" w:color="auto"/>
              <w:bottom w:val="single" w:sz="4" w:space="0" w:color="auto"/>
            </w:tcBorders>
            <w:shd w:val="clear" w:color="auto" w:fill="auto"/>
            <w:vAlign w:val="center"/>
            <w:hideMark/>
          </w:tcPr>
          <w:p w:rsidR="005B1350" w:rsidRPr="00CC74E0" w:rsidRDefault="005B1350" w:rsidP="00054651">
            <w:pPr>
              <w:jc w:val="center"/>
              <w:rPr>
                <w:b/>
                <w:color w:val="000000"/>
                <w:sz w:val="21"/>
                <w:szCs w:val="21"/>
                <w:lang w:eastAsia="en-AU"/>
              </w:rPr>
            </w:pPr>
            <w:r w:rsidRPr="00CC74E0">
              <w:rPr>
                <w:b/>
                <w:color w:val="000000"/>
                <w:sz w:val="21"/>
                <w:szCs w:val="21"/>
                <w:lang w:eastAsia="en-AU"/>
              </w:rPr>
              <w:t>Trung tính</w:t>
            </w:r>
          </w:p>
        </w:tc>
        <w:tc>
          <w:tcPr>
            <w:tcW w:w="1533" w:type="dxa"/>
            <w:tcBorders>
              <w:top w:val="single" w:sz="4" w:space="0" w:color="auto"/>
              <w:bottom w:val="single" w:sz="4" w:space="0" w:color="auto"/>
            </w:tcBorders>
            <w:shd w:val="clear" w:color="auto" w:fill="auto"/>
            <w:vAlign w:val="center"/>
            <w:hideMark/>
          </w:tcPr>
          <w:p w:rsidR="005B1350" w:rsidRPr="00CC74E0" w:rsidRDefault="005B1350" w:rsidP="00054651">
            <w:pPr>
              <w:jc w:val="center"/>
              <w:rPr>
                <w:b/>
                <w:color w:val="000000"/>
                <w:sz w:val="21"/>
                <w:szCs w:val="21"/>
                <w:lang w:eastAsia="en-AU"/>
              </w:rPr>
            </w:pPr>
            <w:r w:rsidRPr="00CC74E0">
              <w:rPr>
                <w:b/>
                <w:color w:val="000000"/>
                <w:sz w:val="21"/>
                <w:szCs w:val="21"/>
                <w:lang w:eastAsia="en-AU"/>
              </w:rPr>
              <w:t xml:space="preserve">Quan trọng </w:t>
            </w:r>
          </w:p>
        </w:tc>
      </w:tr>
      <w:tr w:rsidR="005B1350" w:rsidRPr="00B81639" w:rsidTr="0088357D">
        <w:trPr>
          <w:trHeight w:val="303"/>
          <w:jc w:val="center"/>
        </w:trPr>
        <w:tc>
          <w:tcPr>
            <w:tcW w:w="3990" w:type="dxa"/>
            <w:tcBorders>
              <w:top w:val="single" w:sz="4" w:space="0" w:color="auto"/>
            </w:tcBorders>
            <w:shd w:val="clear" w:color="auto" w:fill="auto"/>
            <w:vAlign w:val="bottom"/>
            <w:hideMark/>
          </w:tcPr>
          <w:p w:rsidR="005B1350" w:rsidRPr="00B81639" w:rsidRDefault="005B1350" w:rsidP="00054651">
            <w:pPr>
              <w:rPr>
                <w:color w:val="000000"/>
                <w:sz w:val="21"/>
                <w:szCs w:val="21"/>
              </w:rPr>
            </w:pPr>
            <w:r>
              <w:rPr>
                <w:color w:val="000000"/>
                <w:sz w:val="21"/>
                <w:szCs w:val="21"/>
              </w:rPr>
              <w:t>Thừa kế quyền sử dụng đất</w:t>
            </w:r>
          </w:p>
        </w:tc>
        <w:tc>
          <w:tcPr>
            <w:tcW w:w="1984" w:type="dxa"/>
            <w:tcBorders>
              <w:top w:val="single" w:sz="4" w:space="0" w:color="auto"/>
            </w:tcBorders>
            <w:shd w:val="clear" w:color="auto" w:fill="auto"/>
            <w:vAlign w:val="bottom"/>
            <w:hideMark/>
          </w:tcPr>
          <w:p w:rsidR="005B1350" w:rsidRPr="00B81639" w:rsidRDefault="005B1350" w:rsidP="00054651">
            <w:pPr>
              <w:jc w:val="center"/>
              <w:rPr>
                <w:color w:val="000000"/>
                <w:sz w:val="21"/>
                <w:szCs w:val="21"/>
              </w:rPr>
            </w:pPr>
            <w:r w:rsidRPr="00B81639">
              <w:rPr>
                <w:color w:val="000000"/>
                <w:sz w:val="21"/>
                <w:szCs w:val="21"/>
              </w:rPr>
              <w:t>7</w:t>
            </w:r>
          </w:p>
        </w:tc>
        <w:tc>
          <w:tcPr>
            <w:tcW w:w="1560" w:type="dxa"/>
            <w:tcBorders>
              <w:top w:val="single" w:sz="4" w:space="0" w:color="auto"/>
            </w:tcBorders>
            <w:shd w:val="clear" w:color="auto" w:fill="auto"/>
            <w:vAlign w:val="bottom"/>
            <w:hideMark/>
          </w:tcPr>
          <w:p w:rsidR="005B1350" w:rsidRPr="00B81639" w:rsidRDefault="005B1350" w:rsidP="00054651">
            <w:pPr>
              <w:jc w:val="center"/>
              <w:rPr>
                <w:color w:val="000000"/>
                <w:sz w:val="21"/>
                <w:szCs w:val="21"/>
              </w:rPr>
            </w:pPr>
            <w:r w:rsidRPr="00B81639">
              <w:rPr>
                <w:color w:val="000000"/>
                <w:sz w:val="21"/>
                <w:szCs w:val="21"/>
              </w:rPr>
              <w:t>12</w:t>
            </w:r>
          </w:p>
        </w:tc>
        <w:tc>
          <w:tcPr>
            <w:tcW w:w="1533" w:type="dxa"/>
            <w:tcBorders>
              <w:top w:val="single" w:sz="4" w:space="0" w:color="auto"/>
            </w:tcBorders>
            <w:shd w:val="clear" w:color="auto" w:fill="auto"/>
            <w:vAlign w:val="bottom"/>
            <w:hideMark/>
          </w:tcPr>
          <w:p w:rsidR="005B1350" w:rsidRPr="00B81639" w:rsidRDefault="005B1350" w:rsidP="00054651">
            <w:pPr>
              <w:jc w:val="center"/>
              <w:rPr>
                <w:color w:val="000000"/>
                <w:sz w:val="21"/>
                <w:szCs w:val="21"/>
              </w:rPr>
            </w:pPr>
            <w:r w:rsidRPr="00B81639">
              <w:rPr>
                <w:color w:val="000000"/>
                <w:sz w:val="21"/>
                <w:szCs w:val="21"/>
              </w:rPr>
              <w:t>103</w:t>
            </w:r>
          </w:p>
        </w:tc>
      </w:tr>
      <w:tr w:rsidR="005B1350" w:rsidRPr="00B81639" w:rsidTr="0088357D">
        <w:trPr>
          <w:trHeight w:val="303"/>
          <w:jc w:val="center"/>
        </w:trPr>
        <w:tc>
          <w:tcPr>
            <w:tcW w:w="3990" w:type="dxa"/>
            <w:shd w:val="clear" w:color="auto" w:fill="auto"/>
            <w:vAlign w:val="bottom"/>
            <w:hideMark/>
          </w:tcPr>
          <w:p w:rsidR="005B1350" w:rsidRPr="00B81639" w:rsidRDefault="005B1350" w:rsidP="00054651">
            <w:pPr>
              <w:rPr>
                <w:color w:val="000000"/>
                <w:sz w:val="21"/>
                <w:szCs w:val="21"/>
              </w:rPr>
            </w:pPr>
            <w:r>
              <w:rPr>
                <w:color w:val="000000"/>
                <w:sz w:val="21"/>
                <w:szCs w:val="21"/>
              </w:rPr>
              <w:t>Chuyển đổi quyền sử dụng đất</w:t>
            </w:r>
          </w:p>
        </w:tc>
        <w:tc>
          <w:tcPr>
            <w:tcW w:w="1984" w:type="dxa"/>
            <w:shd w:val="clear" w:color="auto" w:fill="auto"/>
            <w:vAlign w:val="bottom"/>
            <w:hideMark/>
          </w:tcPr>
          <w:p w:rsidR="005B1350" w:rsidRPr="00B81639" w:rsidRDefault="005B1350" w:rsidP="00054651">
            <w:pPr>
              <w:jc w:val="center"/>
              <w:rPr>
                <w:color w:val="000000"/>
                <w:sz w:val="21"/>
                <w:szCs w:val="21"/>
              </w:rPr>
            </w:pPr>
            <w:r w:rsidRPr="00B81639">
              <w:rPr>
                <w:color w:val="000000"/>
                <w:sz w:val="21"/>
                <w:szCs w:val="21"/>
              </w:rPr>
              <w:t>7</w:t>
            </w:r>
          </w:p>
        </w:tc>
        <w:tc>
          <w:tcPr>
            <w:tcW w:w="1560" w:type="dxa"/>
            <w:shd w:val="clear" w:color="auto" w:fill="auto"/>
            <w:vAlign w:val="bottom"/>
            <w:hideMark/>
          </w:tcPr>
          <w:p w:rsidR="005B1350" w:rsidRPr="00B81639" w:rsidRDefault="005B1350" w:rsidP="00054651">
            <w:pPr>
              <w:jc w:val="center"/>
              <w:rPr>
                <w:color w:val="000000"/>
                <w:sz w:val="21"/>
                <w:szCs w:val="21"/>
              </w:rPr>
            </w:pPr>
            <w:r w:rsidRPr="00B81639">
              <w:rPr>
                <w:color w:val="000000"/>
                <w:sz w:val="21"/>
                <w:szCs w:val="21"/>
              </w:rPr>
              <w:t>23</w:t>
            </w:r>
          </w:p>
        </w:tc>
        <w:tc>
          <w:tcPr>
            <w:tcW w:w="1533" w:type="dxa"/>
            <w:shd w:val="clear" w:color="auto" w:fill="auto"/>
            <w:vAlign w:val="bottom"/>
            <w:hideMark/>
          </w:tcPr>
          <w:p w:rsidR="005B1350" w:rsidRPr="00B81639" w:rsidRDefault="005B1350" w:rsidP="00054651">
            <w:pPr>
              <w:jc w:val="center"/>
              <w:rPr>
                <w:color w:val="000000"/>
                <w:sz w:val="21"/>
                <w:szCs w:val="21"/>
              </w:rPr>
            </w:pPr>
            <w:r>
              <w:rPr>
                <w:color w:val="000000"/>
                <w:sz w:val="21"/>
                <w:szCs w:val="21"/>
              </w:rPr>
              <w:t>92</w:t>
            </w:r>
          </w:p>
        </w:tc>
      </w:tr>
      <w:tr w:rsidR="005B1350" w:rsidRPr="00B81639" w:rsidTr="0088357D">
        <w:trPr>
          <w:trHeight w:val="303"/>
          <w:jc w:val="center"/>
        </w:trPr>
        <w:tc>
          <w:tcPr>
            <w:tcW w:w="3990" w:type="dxa"/>
            <w:shd w:val="clear" w:color="auto" w:fill="auto"/>
            <w:vAlign w:val="bottom"/>
            <w:hideMark/>
          </w:tcPr>
          <w:p w:rsidR="005B1350" w:rsidRPr="00B81639" w:rsidRDefault="005B1350" w:rsidP="00054651">
            <w:pPr>
              <w:rPr>
                <w:color w:val="000000"/>
                <w:sz w:val="21"/>
                <w:szCs w:val="21"/>
              </w:rPr>
            </w:pPr>
            <w:r>
              <w:rPr>
                <w:color w:val="000000"/>
                <w:sz w:val="21"/>
                <w:szCs w:val="21"/>
              </w:rPr>
              <w:t>Thế chấp quyền sử dụng đất</w:t>
            </w:r>
          </w:p>
        </w:tc>
        <w:tc>
          <w:tcPr>
            <w:tcW w:w="1984" w:type="dxa"/>
            <w:shd w:val="clear" w:color="auto" w:fill="auto"/>
            <w:vAlign w:val="bottom"/>
            <w:hideMark/>
          </w:tcPr>
          <w:p w:rsidR="005B1350" w:rsidRPr="00B81639" w:rsidRDefault="005B1350" w:rsidP="00054651">
            <w:pPr>
              <w:jc w:val="center"/>
              <w:rPr>
                <w:color w:val="000000"/>
                <w:sz w:val="21"/>
                <w:szCs w:val="21"/>
              </w:rPr>
            </w:pPr>
            <w:r w:rsidRPr="00B81639">
              <w:rPr>
                <w:color w:val="000000"/>
                <w:sz w:val="21"/>
                <w:szCs w:val="21"/>
              </w:rPr>
              <w:t>11</w:t>
            </w:r>
          </w:p>
        </w:tc>
        <w:tc>
          <w:tcPr>
            <w:tcW w:w="1560" w:type="dxa"/>
            <w:shd w:val="clear" w:color="auto" w:fill="auto"/>
            <w:vAlign w:val="bottom"/>
            <w:hideMark/>
          </w:tcPr>
          <w:p w:rsidR="005B1350" w:rsidRPr="00B81639" w:rsidRDefault="005B1350" w:rsidP="00054651">
            <w:pPr>
              <w:jc w:val="center"/>
              <w:rPr>
                <w:color w:val="000000"/>
                <w:sz w:val="21"/>
                <w:szCs w:val="21"/>
              </w:rPr>
            </w:pPr>
            <w:r w:rsidRPr="00B81639">
              <w:rPr>
                <w:color w:val="000000"/>
                <w:sz w:val="21"/>
                <w:szCs w:val="21"/>
              </w:rPr>
              <w:t>24</w:t>
            </w:r>
          </w:p>
        </w:tc>
        <w:tc>
          <w:tcPr>
            <w:tcW w:w="1533" w:type="dxa"/>
            <w:shd w:val="clear" w:color="auto" w:fill="auto"/>
            <w:vAlign w:val="bottom"/>
            <w:hideMark/>
          </w:tcPr>
          <w:p w:rsidR="005B1350" w:rsidRPr="00B81639" w:rsidRDefault="005B1350" w:rsidP="00054651">
            <w:pPr>
              <w:jc w:val="center"/>
              <w:rPr>
                <w:color w:val="000000"/>
                <w:sz w:val="21"/>
                <w:szCs w:val="21"/>
              </w:rPr>
            </w:pPr>
            <w:r w:rsidRPr="00B81639">
              <w:rPr>
                <w:color w:val="000000"/>
                <w:sz w:val="21"/>
                <w:szCs w:val="21"/>
              </w:rPr>
              <w:t>87</w:t>
            </w:r>
          </w:p>
        </w:tc>
      </w:tr>
      <w:tr w:rsidR="005B1350" w:rsidRPr="00B81639" w:rsidTr="0088357D">
        <w:trPr>
          <w:trHeight w:val="303"/>
          <w:jc w:val="center"/>
        </w:trPr>
        <w:tc>
          <w:tcPr>
            <w:tcW w:w="3990" w:type="dxa"/>
            <w:shd w:val="clear" w:color="auto" w:fill="auto"/>
            <w:vAlign w:val="bottom"/>
            <w:hideMark/>
          </w:tcPr>
          <w:p w:rsidR="005B1350" w:rsidRPr="00B81639" w:rsidRDefault="005B1350" w:rsidP="00054651">
            <w:pPr>
              <w:rPr>
                <w:color w:val="000000"/>
                <w:sz w:val="21"/>
                <w:szCs w:val="21"/>
              </w:rPr>
            </w:pPr>
            <w:r>
              <w:rPr>
                <w:color w:val="000000"/>
                <w:sz w:val="21"/>
                <w:szCs w:val="21"/>
              </w:rPr>
              <w:t>Chuyển nhượng quyền sử dụng đất</w:t>
            </w:r>
          </w:p>
        </w:tc>
        <w:tc>
          <w:tcPr>
            <w:tcW w:w="1984" w:type="dxa"/>
            <w:shd w:val="clear" w:color="auto" w:fill="auto"/>
            <w:vAlign w:val="bottom"/>
            <w:hideMark/>
          </w:tcPr>
          <w:p w:rsidR="005B1350" w:rsidRPr="00B81639" w:rsidRDefault="005B1350" w:rsidP="00054651">
            <w:pPr>
              <w:jc w:val="center"/>
              <w:rPr>
                <w:color w:val="000000"/>
                <w:sz w:val="21"/>
                <w:szCs w:val="21"/>
              </w:rPr>
            </w:pPr>
            <w:r w:rsidRPr="00B81639">
              <w:rPr>
                <w:color w:val="000000"/>
                <w:sz w:val="21"/>
                <w:szCs w:val="21"/>
              </w:rPr>
              <w:t>7</w:t>
            </w:r>
          </w:p>
        </w:tc>
        <w:tc>
          <w:tcPr>
            <w:tcW w:w="1560" w:type="dxa"/>
            <w:shd w:val="clear" w:color="auto" w:fill="auto"/>
            <w:vAlign w:val="bottom"/>
            <w:hideMark/>
          </w:tcPr>
          <w:p w:rsidR="005B1350" w:rsidRPr="00B81639" w:rsidRDefault="005B1350" w:rsidP="00054651">
            <w:pPr>
              <w:jc w:val="center"/>
              <w:rPr>
                <w:color w:val="000000"/>
                <w:sz w:val="21"/>
                <w:szCs w:val="21"/>
              </w:rPr>
            </w:pPr>
            <w:r w:rsidRPr="00B81639">
              <w:rPr>
                <w:color w:val="000000"/>
                <w:sz w:val="21"/>
                <w:szCs w:val="21"/>
              </w:rPr>
              <w:t>30</w:t>
            </w:r>
          </w:p>
        </w:tc>
        <w:tc>
          <w:tcPr>
            <w:tcW w:w="1533" w:type="dxa"/>
            <w:shd w:val="clear" w:color="auto" w:fill="auto"/>
            <w:vAlign w:val="bottom"/>
            <w:hideMark/>
          </w:tcPr>
          <w:p w:rsidR="005B1350" w:rsidRPr="00B81639" w:rsidRDefault="005B1350" w:rsidP="00054651">
            <w:pPr>
              <w:jc w:val="center"/>
              <w:rPr>
                <w:color w:val="000000"/>
                <w:sz w:val="21"/>
                <w:szCs w:val="21"/>
              </w:rPr>
            </w:pPr>
            <w:r w:rsidRPr="00B81639">
              <w:rPr>
                <w:color w:val="000000"/>
                <w:sz w:val="21"/>
                <w:szCs w:val="21"/>
              </w:rPr>
              <w:t>85</w:t>
            </w:r>
          </w:p>
        </w:tc>
      </w:tr>
      <w:tr w:rsidR="005B1350" w:rsidRPr="00B81639" w:rsidTr="0088357D">
        <w:trPr>
          <w:trHeight w:val="303"/>
          <w:jc w:val="center"/>
        </w:trPr>
        <w:tc>
          <w:tcPr>
            <w:tcW w:w="3990" w:type="dxa"/>
            <w:shd w:val="clear" w:color="auto" w:fill="auto"/>
            <w:vAlign w:val="bottom"/>
            <w:hideMark/>
          </w:tcPr>
          <w:p w:rsidR="005B1350" w:rsidRPr="00B81639" w:rsidRDefault="005B1350" w:rsidP="00054651">
            <w:pPr>
              <w:rPr>
                <w:color w:val="000000"/>
                <w:sz w:val="21"/>
                <w:szCs w:val="21"/>
              </w:rPr>
            </w:pPr>
            <w:r>
              <w:rPr>
                <w:color w:val="000000"/>
                <w:sz w:val="21"/>
                <w:szCs w:val="21"/>
              </w:rPr>
              <w:t>Bảo lãnh bằng quyền sử dụng đất</w:t>
            </w:r>
          </w:p>
        </w:tc>
        <w:tc>
          <w:tcPr>
            <w:tcW w:w="1984" w:type="dxa"/>
            <w:shd w:val="clear" w:color="auto" w:fill="auto"/>
            <w:vAlign w:val="bottom"/>
            <w:hideMark/>
          </w:tcPr>
          <w:p w:rsidR="005B1350" w:rsidRPr="00B81639" w:rsidRDefault="005B1350" w:rsidP="00054651">
            <w:pPr>
              <w:jc w:val="center"/>
              <w:rPr>
                <w:color w:val="000000"/>
                <w:sz w:val="21"/>
                <w:szCs w:val="21"/>
              </w:rPr>
            </w:pPr>
            <w:r w:rsidRPr="00B81639">
              <w:rPr>
                <w:color w:val="000000"/>
                <w:sz w:val="21"/>
                <w:szCs w:val="21"/>
              </w:rPr>
              <w:t>31</w:t>
            </w:r>
          </w:p>
        </w:tc>
        <w:tc>
          <w:tcPr>
            <w:tcW w:w="1560" w:type="dxa"/>
            <w:shd w:val="clear" w:color="auto" w:fill="auto"/>
            <w:vAlign w:val="bottom"/>
            <w:hideMark/>
          </w:tcPr>
          <w:p w:rsidR="005B1350" w:rsidRPr="00B81639" w:rsidRDefault="005B1350" w:rsidP="00054651">
            <w:pPr>
              <w:jc w:val="center"/>
              <w:rPr>
                <w:color w:val="000000"/>
                <w:sz w:val="21"/>
                <w:szCs w:val="21"/>
              </w:rPr>
            </w:pPr>
            <w:r w:rsidRPr="00B81639">
              <w:rPr>
                <w:color w:val="000000"/>
                <w:sz w:val="21"/>
                <w:szCs w:val="21"/>
              </w:rPr>
              <w:t>26</w:t>
            </w:r>
          </w:p>
        </w:tc>
        <w:tc>
          <w:tcPr>
            <w:tcW w:w="1533" w:type="dxa"/>
            <w:shd w:val="clear" w:color="auto" w:fill="auto"/>
            <w:vAlign w:val="bottom"/>
            <w:hideMark/>
          </w:tcPr>
          <w:p w:rsidR="005B1350" w:rsidRPr="00B81639" w:rsidRDefault="005B1350" w:rsidP="00054651">
            <w:pPr>
              <w:jc w:val="center"/>
              <w:rPr>
                <w:color w:val="000000"/>
                <w:sz w:val="21"/>
                <w:szCs w:val="21"/>
              </w:rPr>
            </w:pPr>
            <w:r w:rsidRPr="00B81639">
              <w:rPr>
                <w:color w:val="000000"/>
                <w:sz w:val="21"/>
                <w:szCs w:val="21"/>
              </w:rPr>
              <w:t>65</w:t>
            </w:r>
          </w:p>
        </w:tc>
      </w:tr>
      <w:tr w:rsidR="005B1350" w:rsidRPr="00B81639" w:rsidTr="0088357D">
        <w:trPr>
          <w:trHeight w:val="303"/>
          <w:jc w:val="center"/>
        </w:trPr>
        <w:tc>
          <w:tcPr>
            <w:tcW w:w="3990" w:type="dxa"/>
            <w:shd w:val="clear" w:color="auto" w:fill="auto"/>
            <w:vAlign w:val="bottom"/>
            <w:hideMark/>
          </w:tcPr>
          <w:p w:rsidR="005B1350" w:rsidRPr="00B81639" w:rsidRDefault="005B1350" w:rsidP="00054651">
            <w:pPr>
              <w:rPr>
                <w:color w:val="000000"/>
                <w:sz w:val="21"/>
                <w:szCs w:val="21"/>
              </w:rPr>
            </w:pPr>
            <w:r>
              <w:rPr>
                <w:color w:val="000000"/>
                <w:sz w:val="21"/>
                <w:szCs w:val="21"/>
              </w:rPr>
              <w:t>Cho thuê/cho thuê lại quyền sử dụng đất</w:t>
            </w:r>
          </w:p>
        </w:tc>
        <w:tc>
          <w:tcPr>
            <w:tcW w:w="1984" w:type="dxa"/>
            <w:shd w:val="clear" w:color="auto" w:fill="auto"/>
            <w:vAlign w:val="bottom"/>
            <w:hideMark/>
          </w:tcPr>
          <w:p w:rsidR="005B1350" w:rsidRPr="00B81639" w:rsidRDefault="005B1350" w:rsidP="00054651">
            <w:pPr>
              <w:jc w:val="center"/>
              <w:rPr>
                <w:color w:val="000000"/>
                <w:sz w:val="21"/>
                <w:szCs w:val="21"/>
              </w:rPr>
            </w:pPr>
            <w:r w:rsidRPr="00B81639">
              <w:rPr>
                <w:color w:val="000000"/>
                <w:sz w:val="21"/>
                <w:szCs w:val="21"/>
              </w:rPr>
              <w:t>30</w:t>
            </w:r>
          </w:p>
        </w:tc>
        <w:tc>
          <w:tcPr>
            <w:tcW w:w="1560" w:type="dxa"/>
            <w:shd w:val="clear" w:color="auto" w:fill="auto"/>
            <w:vAlign w:val="bottom"/>
            <w:hideMark/>
          </w:tcPr>
          <w:p w:rsidR="005B1350" w:rsidRPr="00B81639" w:rsidRDefault="005B1350" w:rsidP="00054651">
            <w:pPr>
              <w:jc w:val="center"/>
              <w:rPr>
                <w:color w:val="000000"/>
                <w:sz w:val="21"/>
                <w:szCs w:val="21"/>
              </w:rPr>
            </w:pPr>
            <w:r w:rsidRPr="00B81639">
              <w:rPr>
                <w:color w:val="000000"/>
                <w:sz w:val="21"/>
                <w:szCs w:val="21"/>
              </w:rPr>
              <w:t>34</w:t>
            </w:r>
          </w:p>
        </w:tc>
        <w:tc>
          <w:tcPr>
            <w:tcW w:w="1533" w:type="dxa"/>
            <w:shd w:val="clear" w:color="auto" w:fill="auto"/>
            <w:vAlign w:val="bottom"/>
            <w:hideMark/>
          </w:tcPr>
          <w:p w:rsidR="005B1350" w:rsidRPr="00B81639" w:rsidRDefault="005B1350" w:rsidP="00054651">
            <w:pPr>
              <w:jc w:val="center"/>
              <w:rPr>
                <w:color w:val="000000"/>
                <w:sz w:val="21"/>
                <w:szCs w:val="21"/>
              </w:rPr>
            </w:pPr>
            <w:r w:rsidRPr="00B81639">
              <w:rPr>
                <w:color w:val="000000"/>
                <w:sz w:val="21"/>
                <w:szCs w:val="21"/>
              </w:rPr>
              <w:t>58</w:t>
            </w:r>
          </w:p>
        </w:tc>
      </w:tr>
      <w:tr w:rsidR="005B1350" w:rsidRPr="00B81639" w:rsidTr="0088357D">
        <w:trPr>
          <w:trHeight w:val="303"/>
          <w:jc w:val="center"/>
        </w:trPr>
        <w:tc>
          <w:tcPr>
            <w:tcW w:w="3990" w:type="dxa"/>
            <w:shd w:val="clear" w:color="auto" w:fill="auto"/>
            <w:vAlign w:val="center"/>
            <w:hideMark/>
          </w:tcPr>
          <w:p w:rsidR="005B1350" w:rsidRPr="00B81639" w:rsidRDefault="005B1350" w:rsidP="00054651">
            <w:pPr>
              <w:jc w:val="right"/>
              <w:rPr>
                <w:color w:val="000000"/>
                <w:sz w:val="21"/>
                <w:szCs w:val="21"/>
                <w:lang w:eastAsia="en-AU"/>
              </w:rPr>
            </w:pPr>
            <w:r>
              <w:rPr>
                <w:color w:val="000000"/>
                <w:sz w:val="21"/>
                <w:szCs w:val="21"/>
                <w:lang w:eastAsia="en-AU"/>
              </w:rPr>
              <w:t xml:space="preserve">Trung bình </w:t>
            </w:r>
            <w:r w:rsidRPr="00B81639">
              <w:rPr>
                <w:color w:val="000000"/>
                <w:sz w:val="21"/>
                <w:szCs w:val="21"/>
                <w:lang w:eastAsia="en-AU"/>
              </w:rPr>
              <w:t>(%)</w:t>
            </w:r>
          </w:p>
        </w:tc>
        <w:tc>
          <w:tcPr>
            <w:tcW w:w="1984" w:type="dxa"/>
            <w:shd w:val="clear" w:color="auto" w:fill="auto"/>
            <w:noWrap/>
            <w:vAlign w:val="center"/>
            <w:hideMark/>
          </w:tcPr>
          <w:p w:rsidR="005B1350" w:rsidRPr="00B81639" w:rsidRDefault="005B1350" w:rsidP="00054651">
            <w:pPr>
              <w:jc w:val="center"/>
              <w:rPr>
                <w:color w:val="000000"/>
                <w:sz w:val="21"/>
                <w:szCs w:val="21"/>
                <w:lang w:eastAsia="en-AU"/>
              </w:rPr>
            </w:pPr>
            <w:r w:rsidRPr="00B81639">
              <w:rPr>
                <w:color w:val="000000"/>
                <w:sz w:val="21"/>
                <w:szCs w:val="21"/>
                <w:lang w:eastAsia="en-AU"/>
              </w:rPr>
              <w:t>16 (13.1%)</w:t>
            </w:r>
          </w:p>
        </w:tc>
        <w:tc>
          <w:tcPr>
            <w:tcW w:w="1560" w:type="dxa"/>
            <w:shd w:val="clear" w:color="auto" w:fill="auto"/>
            <w:noWrap/>
            <w:vAlign w:val="center"/>
            <w:hideMark/>
          </w:tcPr>
          <w:p w:rsidR="005B1350" w:rsidRPr="00B81639" w:rsidRDefault="005B1350" w:rsidP="00054651">
            <w:pPr>
              <w:jc w:val="center"/>
              <w:rPr>
                <w:color w:val="000000"/>
                <w:sz w:val="21"/>
                <w:szCs w:val="21"/>
                <w:lang w:eastAsia="en-AU"/>
              </w:rPr>
            </w:pPr>
            <w:r w:rsidRPr="00B81639">
              <w:rPr>
                <w:color w:val="000000"/>
                <w:sz w:val="21"/>
                <w:szCs w:val="21"/>
                <w:lang w:eastAsia="en-AU"/>
              </w:rPr>
              <w:t>25 (20.5%)</w:t>
            </w:r>
          </w:p>
        </w:tc>
        <w:tc>
          <w:tcPr>
            <w:tcW w:w="1533" w:type="dxa"/>
            <w:shd w:val="clear" w:color="auto" w:fill="auto"/>
            <w:noWrap/>
            <w:vAlign w:val="center"/>
            <w:hideMark/>
          </w:tcPr>
          <w:p w:rsidR="005B1350" w:rsidRPr="00B81639" w:rsidRDefault="005B1350" w:rsidP="00054651">
            <w:pPr>
              <w:jc w:val="center"/>
              <w:rPr>
                <w:color w:val="000000"/>
                <w:sz w:val="21"/>
                <w:szCs w:val="21"/>
                <w:lang w:eastAsia="en-AU"/>
              </w:rPr>
            </w:pPr>
            <w:r w:rsidRPr="00B81639">
              <w:rPr>
                <w:color w:val="000000"/>
                <w:sz w:val="21"/>
                <w:szCs w:val="21"/>
                <w:lang w:eastAsia="en-AU"/>
              </w:rPr>
              <w:t>81 (66.4%)</w:t>
            </w:r>
          </w:p>
        </w:tc>
      </w:tr>
    </w:tbl>
    <w:p w:rsidR="005B1350" w:rsidRDefault="005B1350" w:rsidP="00054651">
      <w:pPr>
        <w:pStyle w:val="BodyText"/>
        <w:jc w:val="both"/>
        <w:rPr>
          <w:lang w:val="en-US"/>
        </w:rPr>
      </w:pPr>
    </w:p>
    <w:p w:rsidR="005B1350" w:rsidRPr="00266CE2" w:rsidRDefault="005B1350" w:rsidP="00054651">
      <w:pPr>
        <w:pStyle w:val="BodyText"/>
        <w:jc w:val="both"/>
        <w:rPr>
          <w:sz w:val="26"/>
          <w:szCs w:val="26"/>
          <w:lang w:val="en-US"/>
        </w:rPr>
      </w:pPr>
      <w:r w:rsidRPr="00266CE2">
        <w:rPr>
          <w:sz w:val="26"/>
          <w:szCs w:val="26"/>
          <w:lang w:val="en-US"/>
        </w:rPr>
        <w:t xml:space="preserve">Bảng 3 trình bày kết quả khảo sát về tầm quan trọng của quyền sử dụng đất. Người tham gia được yêu cầu ghi nhận tầm quan trọng tương đối của họ đối với quyền sử dụng đất </w:t>
      </w:r>
      <w:r w:rsidRPr="00266CE2">
        <w:rPr>
          <w:sz w:val="26"/>
          <w:szCs w:val="26"/>
          <w:lang w:val="en-US"/>
        </w:rPr>
        <w:lastRenderedPageBreak/>
        <w:t xml:space="preserve">- theo Luật Đất đai năm 2003 </w:t>
      </w:r>
      <w:r w:rsidRPr="00266CE2">
        <w:rPr>
          <w:noProof/>
          <w:sz w:val="26"/>
          <w:szCs w:val="26"/>
          <w:lang w:val="en-US"/>
        </w:rPr>
        <w:t>(Quốc hội Việt Nam, 2013b)</w:t>
      </w:r>
      <w:r w:rsidRPr="00266CE2">
        <w:rPr>
          <w:sz w:val="26"/>
          <w:szCs w:val="26"/>
          <w:lang w:val="en-US"/>
        </w:rPr>
        <w:t>. Nhìn chung, khoảng 66% số người được hỏi nhận định rằng quyền sử dụng đất là quan trọng (quan trọng hoặc rất quan trọng) trong khi chỉ có hơn 13% cho rằng quyền sử dụng đất là không quan trọng. 21% số người được hỏi lựa chọn phương án trả lời trung lập.</w:t>
      </w:r>
    </w:p>
    <w:p w:rsidR="005B1350" w:rsidRPr="00266CE2" w:rsidRDefault="005B1350" w:rsidP="00054651">
      <w:pPr>
        <w:pStyle w:val="BodyText"/>
        <w:jc w:val="both"/>
        <w:rPr>
          <w:sz w:val="26"/>
          <w:szCs w:val="26"/>
          <w:lang w:val="en-US"/>
        </w:rPr>
      </w:pPr>
    </w:p>
    <w:p w:rsidR="005B1350" w:rsidRPr="00266CE2" w:rsidRDefault="005B1350" w:rsidP="00054651">
      <w:pPr>
        <w:pStyle w:val="BodyText"/>
        <w:jc w:val="both"/>
        <w:rPr>
          <w:sz w:val="26"/>
          <w:szCs w:val="26"/>
          <w:lang w:val="en-US"/>
        </w:rPr>
      </w:pPr>
      <w:r w:rsidRPr="00266CE2">
        <w:rPr>
          <w:sz w:val="26"/>
          <w:szCs w:val="26"/>
          <w:lang w:val="en-US"/>
        </w:rPr>
        <w:t>Trong sáu quyền cơ bản của người sử dụng đất nêu trên, việc thừa kế quyền sử dụng đất đã được đánh giá là quan trọng hơn cả với sự xác nhận của 103 (84,4%) người tham gia. Tiếp theo, là quyền chuyển đổi quyền sử dụng đất với sự xác nhận của 92 (75,4%) người tham gia. Quan sát thực tế cho thấy việc chuyển đổi quyền sử dụng đất đã hỗ trợ người sử dụng đất rất nhiều, đặc biệt là với nông dân, những người muốn có diện tích rộng lớn hơn để thuận tiện đầu tư cơ khí hoá nông nghiệp. Cả hai quyền bảo lãnh bằng quyền sử dụng đất và quyền thuê/cho thuê lại đất đều nằm ở đáy bảng tổng hợp với trung bình chỉ hơn 50% số người được hỏi cho rằng đó là những quyền quan trọng.</w:t>
      </w:r>
    </w:p>
    <w:p w:rsidR="005B1350" w:rsidRPr="00266CE2" w:rsidRDefault="005B1350" w:rsidP="00054651">
      <w:pPr>
        <w:pStyle w:val="BodyText"/>
        <w:jc w:val="both"/>
        <w:rPr>
          <w:sz w:val="26"/>
          <w:szCs w:val="26"/>
          <w:lang w:val="en-US"/>
        </w:rPr>
      </w:pPr>
    </w:p>
    <w:p w:rsidR="005B1350" w:rsidRPr="00266CE2" w:rsidRDefault="005B1350" w:rsidP="00054651">
      <w:pPr>
        <w:pStyle w:val="BodyText"/>
        <w:jc w:val="both"/>
        <w:rPr>
          <w:sz w:val="26"/>
          <w:szCs w:val="26"/>
          <w:lang w:val="en-US"/>
        </w:rPr>
      </w:pPr>
      <w:r w:rsidRPr="00266CE2">
        <w:rPr>
          <w:sz w:val="26"/>
          <w:szCs w:val="26"/>
          <w:lang w:val="en-US"/>
        </w:rPr>
        <w:t>Nhìn chung, đây là kết quả tương đối phù hợp với kết quả thảo luận nhóm tại 3 đơn vị hành chính xã. Mặc dù có sự khác biệt về địa điểm sử dụng đất, đặc trưng cộng đồng và nguồn gốc của người tham gia nhưng đa số người được hỏi đều thừa nhận về tầm quan trọng của quyền sử dụng đất đối với họ. Kết quả thảo luận ở các cuộc thảo luận nhóm với câu hỏi liên quan được tóm tắt như sau:</w:t>
      </w:r>
    </w:p>
    <w:p w:rsidR="005B1350" w:rsidRPr="00266CE2" w:rsidRDefault="005B1350" w:rsidP="00054651">
      <w:pPr>
        <w:pStyle w:val="BodyText"/>
        <w:jc w:val="both"/>
        <w:rPr>
          <w:sz w:val="26"/>
          <w:szCs w:val="26"/>
          <w:lang w:val="en-US"/>
        </w:rPr>
      </w:pPr>
    </w:p>
    <w:p w:rsidR="005B1350" w:rsidRPr="00266CE2" w:rsidRDefault="005B1350" w:rsidP="00054651">
      <w:pPr>
        <w:pStyle w:val="BodyText"/>
        <w:numPr>
          <w:ilvl w:val="0"/>
          <w:numId w:val="8"/>
        </w:numPr>
        <w:ind w:left="284" w:hanging="284"/>
        <w:jc w:val="both"/>
        <w:rPr>
          <w:sz w:val="26"/>
          <w:szCs w:val="26"/>
          <w:lang w:val="en-US"/>
        </w:rPr>
      </w:pPr>
      <w:r w:rsidRPr="00266CE2">
        <w:rPr>
          <w:sz w:val="26"/>
          <w:szCs w:val="26"/>
          <w:lang w:val="en-US"/>
        </w:rPr>
        <w:t>Việc thừa kế quyền sử dụng đất là rất quan trọng đối với cá nhân và hộ gia đình với toàn bộ 27 người nêu ý kiến cho rằng việc thừa kế quyền sử dụng đất là một quyền cơ bản cho người sử dụng đất;</w:t>
      </w:r>
    </w:p>
    <w:p w:rsidR="005B1350" w:rsidRPr="00266CE2" w:rsidRDefault="005B1350" w:rsidP="00054651">
      <w:pPr>
        <w:pStyle w:val="BodyText"/>
        <w:numPr>
          <w:ilvl w:val="0"/>
          <w:numId w:val="8"/>
        </w:numPr>
        <w:spacing w:before="120"/>
        <w:ind w:left="284" w:hanging="284"/>
        <w:jc w:val="both"/>
        <w:rPr>
          <w:sz w:val="26"/>
          <w:szCs w:val="26"/>
          <w:lang w:val="en-US"/>
        </w:rPr>
      </w:pPr>
      <w:r w:rsidRPr="00266CE2">
        <w:rPr>
          <w:sz w:val="26"/>
          <w:szCs w:val="26"/>
          <w:lang w:val="en-US"/>
        </w:rPr>
        <w:t>Việc thế chấp và chuyển đổi quyền sử dụng đất có ý nghĩa rất lớn đối với người sử dụng đất ở địa phương. Đa số (72%) người tham gia thảo luận trong nhóm bình luận rằng việc thế chấp quyền sử dụng đất là một quyền cơ bản quan trọng mặc dù chỉ có một vài người trong số họ xác nhận đã thực hiện thành công việc thế chấp sử dụng quyền sử dụng đất; trong khi đó, hơn một nửa (56%) số người tham gia ở khu vực bán đô thị và nông thôn cho thấy việc chuyển đổi quyền sử dụng đất hỗ trợ họ sử dụng thửa đất lớn hơn cho phát triển nông nghiệp;</w:t>
      </w:r>
    </w:p>
    <w:p w:rsidR="005B1350" w:rsidRPr="00266CE2" w:rsidRDefault="005B1350" w:rsidP="00054651">
      <w:pPr>
        <w:pStyle w:val="BodyText"/>
        <w:numPr>
          <w:ilvl w:val="0"/>
          <w:numId w:val="8"/>
        </w:numPr>
        <w:spacing w:before="120"/>
        <w:ind w:left="284" w:hanging="284"/>
        <w:jc w:val="both"/>
        <w:rPr>
          <w:sz w:val="26"/>
          <w:szCs w:val="26"/>
          <w:lang w:val="en-US"/>
        </w:rPr>
      </w:pPr>
      <w:r w:rsidRPr="00266CE2">
        <w:rPr>
          <w:sz w:val="26"/>
          <w:szCs w:val="26"/>
          <w:lang w:val="en-US"/>
        </w:rPr>
        <w:t>Chỉ có một người chia sẻ kinh nghiệm của cá nhân về việc thực hiện quyền thuê/cho thuê lại quyền sử dụng đất. Không có người nào đề cập rằng việc bảo lãnh bằng quyền sử dụng đất được đã mang lại lợi ích cho họ. Thậm chí, việc lẫn lộn giữa hai thuật ngữ "bảo lãnh bằng quyền sử dụng đất" và "thế chấp quyền sử dụng đất" đã dược ghi nhận tại các cuộc thảo luận thảo luận nhóm về cách thức người dân tiếp cận tín dụng bằng cách sử dụng GCNQSDĐ.</w:t>
      </w:r>
    </w:p>
    <w:p w:rsidR="005B1350" w:rsidRPr="00266CE2" w:rsidRDefault="005B1350" w:rsidP="00054651">
      <w:pPr>
        <w:pStyle w:val="BodyText"/>
        <w:jc w:val="both"/>
        <w:rPr>
          <w:sz w:val="26"/>
          <w:szCs w:val="26"/>
          <w:lang w:val="en-US"/>
        </w:rPr>
      </w:pPr>
    </w:p>
    <w:p w:rsidR="005B1350" w:rsidRPr="00266CE2" w:rsidRDefault="005B1350" w:rsidP="00054651">
      <w:pPr>
        <w:pStyle w:val="BodyText"/>
        <w:jc w:val="both"/>
        <w:rPr>
          <w:sz w:val="26"/>
          <w:szCs w:val="26"/>
          <w:lang w:val="en-US"/>
        </w:rPr>
      </w:pPr>
      <w:r w:rsidRPr="00266CE2">
        <w:rPr>
          <w:sz w:val="26"/>
          <w:szCs w:val="26"/>
          <w:lang w:val="en-US"/>
        </w:rPr>
        <w:t>Tóm lại, dù chỉ có một số ít người sử dụng đất đã tiếp cận tín dụng bằng cách thế chấp quyền sử dụng đất của mình thì kết quả trên đã phản ánh tầm quan trọng của quyền sử dụng đất cũng như lợi ích của việc cấp GCNQSDĐ cho người sử dụng đất là rất lớn. Trước hết, nó là chứng thư pháp lý để Nhà nước công nhận và bảo hộ quyền sử dụng đất cho người dân, thông qua đó, người dân được thực hiện các quyền của mình với thửa đất qua việc chuyển đổi quyền sử dụng đất để có điều kiện cach tác trên thửa đất rộng lớn, tiếp cận với các nguồn vốn chính thức, tạo tâm lý ổn định cho việc sử dụng đất, đặc biệt đối với hộ gia đình tại khu vực nông thôn.</w:t>
      </w:r>
    </w:p>
    <w:p w:rsidR="005B1350" w:rsidRDefault="005B1350" w:rsidP="00054651">
      <w:pPr>
        <w:pStyle w:val="BodyText"/>
        <w:jc w:val="both"/>
        <w:rPr>
          <w:sz w:val="26"/>
          <w:szCs w:val="26"/>
          <w:lang w:val="en-US"/>
        </w:rPr>
      </w:pPr>
    </w:p>
    <w:p w:rsidR="0088357D" w:rsidRPr="00266CE2" w:rsidRDefault="0088357D" w:rsidP="00054651">
      <w:pPr>
        <w:pStyle w:val="BodyText"/>
        <w:jc w:val="both"/>
        <w:rPr>
          <w:sz w:val="26"/>
          <w:szCs w:val="26"/>
          <w:lang w:val="en-US"/>
        </w:rPr>
      </w:pPr>
    </w:p>
    <w:p w:rsidR="005B1350" w:rsidRPr="00266CE2" w:rsidRDefault="005B1350" w:rsidP="00054651">
      <w:pPr>
        <w:pStyle w:val="BodyText"/>
        <w:numPr>
          <w:ilvl w:val="1"/>
          <w:numId w:val="1"/>
        </w:numPr>
        <w:rPr>
          <w:b/>
          <w:sz w:val="26"/>
          <w:szCs w:val="26"/>
          <w:lang w:val="en-US"/>
        </w:rPr>
      </w:pPr>
      <w:r w:rsidRPr="00266CE2">
        <w:rPr>
          <w:b/>
          <w:sz w:val="26"/>
          <w:szCs w:val="26"/>
          <w:lang w:val="en-US"/>
        </w:rPr>
        <w:lastRenderedPageBreak/>
        <w:t>Tiếp cận dịch vụ quản lý đất đai</w:t>
      </w:r>
    </w:p>
    <w:p w:rsidR="005B1350" w:rsidRPr="00266CE2" w:rsidRDefault="005B1350" w:rsidP="00054651">
      <w:pPr>
        <w:pStyle w:val="BodyText"/>
        <w:jc w:val="both"/>
        <w:rPr>
          <w:sz w:val="26"/>
          <w:szCs w:val="26"/>
          <w:lang w:val="en-US"/>
        </w:rPr>
      </w:pPr>
    </w:p>
    <w:p w:rsidR="005B1350" w:rsidRPr="00266CE2" w:rsidRDefault="005B1350" w:rsidP="00054651">
      <w:pPr>
        <w:pStyle w:val="BodyText"/>
        <w:jc w:val="both"/>
        <w:rPr>
          <w:sz w:val="26"/>
          <w:szCs w:val="26"/>
          <w:lang w:val="en-US"/>
        </w:rPr>
      </w:pPr>
      <w:r w:rsidRPr="00266CE2">
        <w:rPr>
          <w:sz w:val="26"/>
          <w:szCs w:val="26"/>
          <w:lang w:val="en-US"/>
        </w:rPr>
        <w:t xml:space="preserve">Phần này trình bày kết quả khảo sát và thảo luận nhóm về kinh nghiệm thực tiễn của người sử dụng đất khi tham gia vào các dịch vụ đăng ký đất đai. Việc tham vấn người dân bắt đầu bằng việc khảo sát bảng hỏi qua câu hỏi </w:t>
      </w:r>
      <w:r w:rsidRPr="00266CE2">
        <w:rPr>
          <w:i/>
          <w:sz w:val="26"/>
          <w:szCs w:val="26"/>
          <w:lang w:val="en-US"/>
        </w:rPr>
        <w:t>“Đâu là trở ngại lớn nhất đối với các dịch vụ đăng ký đất đai, nếu ông/bà mua bán đất?”</w:t>
      </w:r>
      <w:r w:rsidRPr="00266CE2">
        <w:rPr>
          <w:sz w:val="26"/>
          <w:szCs w:val="26"/>
          <w:lang w:val="en-US"/>
        </w:rPr>
        <w:t>. Kết quả được trình bày trong Bảng 4.</w:t>
      </w:r>
    </w:p>
    <w:p w:rsidR="005B1350" w:rsidRPr="00266CE2" w:rsidRDefault="005B1350" w:rsidP="00054651">
      <w:pPr>
        <w:pStyle w:val="BodyText"/>
        <w:jc w:val="both"/>
        <w:rPr>
          <w:sz w:val="26"/>
          <w:szCs w:val="26"/>
          <w:lang w:val="en-US"/>
        </w:rPr>
      </w:pPr>
    </w:p>
    <w:p w:rsidR="005B1350" w:rsidRPr="00CF5E64" w:rsidRDefault="005B1350" w:rsidP="00054651">
      <w:pPr>
        <w:pStyle w:val="BodyText"/>
        <w:jc w:val="both"/>
        <w:rPr>
          <w:b/>
          <w:sz w:val="22"/>
          <w:lang w:val="en-US"/>
        </w:rPr>
      </w:pPr>
      <w:r>
        <w:rPr>
          <w:b/>
          <w:sz w:val="22"/>
          <w:lang w:val="en-US"/>
        </w:rPr>
        <w:t>Bảng</w:t>
      </w:r>
      <w:r w:rsidRPr="00CF5E64">
        <w:rPr>
          <w:b/>
          <w:sz w:val="22"/>
          <w:lang w:val="en-US"/>
        </w:rPr>
        <w:t xml:space="preserve"> </w:t>
      </w:r>
      <w:r>
        <w:rPr>
          <w:b/>
          <w:sz w:val="22"/>
          <w:lang w:val="en-US"/>
        </w:rPr>
        <w:t>4</w:t>
      </w:r>
      <w:r w:rsidRPr="00CF5E64">
        <w:rPr>
          <w:b/>
          <w:sz w:val="22"/>
          <w:lang w:val="en-US"/>
        </w:rPr>
        <w:t xml:space="preserve">: </w:t>
      </w:r>
      <w:r>
        <w:rPr>
          <w:b/>
          <w:sz w:val="22"/>
          <w:lang w:val="en-US"/>
        </w:rPr>
        <w:t>Những rào cản khi tham gia các dịch vụ đăng ký đất đai</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2"/>
        <w:gridCol w:w="1245"/>
        <w:gridCol w:w="1276"/>
        <w:gridCol w:w="1418"/>
        <w:gridCol w:w="1006"/>
      </w:tblGrid>
      <w:tr w:rsidR="005B1350" w:rsidRPr="00E433AB" w:rsidTr="0088357D">
        <w:trPr>
          <w:trHeight w:val="236"/>
          <w:jc w:val="center"/>
        </w:trPr>
        <w:tc>
          <w:tcPr>
            <w:tcW w:w="4122" w:type="dxa"/>
            <w:tcBorders>
              <w:left w:val="nil"/>
              <w:bottom w:val="single" w:sz="4" w:space="0" w:color="auto"/>
              <w:right w:val="nil"/>
              <w:tl2br w:val="nil"/>
            </w:tcBorders>
            <w:shd w:val="clear" w:color="auto" w:fill="auto"/>
            <w:vAlign w:val="center"/>
          </w:tcPr>
          <w:p w:rsidR="005B1350" w:rsidRPr="00B81639" w:rsidRDefault="005B1350" w:rsidP="00054651">
            <w:pPr>
              <w:contextualSpacing/>
              <w:rPr>
                <w:rFonts w:eastAsiaTheme="minorHAnsi"/>
                <w:b/>
                <w:color w:val="000000"/>
                <w:sz w:val="21"/>
                <w:szCs w:val="21"/>
                <w:lang w:val="en-AU"/>
              </w:rPr>
            </w:pPr>
            <w:r>
              <w:rPr>
                <w:rFonts w:eastAsiaTheme="minorHAnsi"/>
                <w:b/>
                <w:color w:val="000000"/>
                <w:sz w:val="21"/>
                <w:szCs w:val="21"/>
                <w:lang w:val="en-AU"/>
              </w:rPr>
              <w:t>Yếu tố trở ngại</w:t>
            </w:r>
            <w:r w:rsidR="0088357D">
              <w:rPr>
                <w:rFonts w:eastAsiaTheme="minorHAnsi"/>
                <w:b/>
                <w:color w:val="000000"/>
                <w:sz w:val="21"/>
                <w:szCs w:val="21"/>
                <w:lang w:val="en-AU"/>
              </w:rPr>
              <w:t xml:space="preserve"> khi</w:t>
            </w:r>
          </w:p>
        </w:tc>
        <w:tc>
          <w:tcPr>
            <w:tcW w:w="1245" w:type="dxa"/>
            <w:tcBorders>
              <w:left w:val="nil"/>
              <w:bottom w:val="single" w:sz="4" w:space="0" w:color="auto"/>
              <w:right w:val="nil"/>
              <w:tl2br w:val="nil"/>
            </w:tcBorders>
            <w:shd w:val="clear" w:color="auto" w:fill="auto"/>
            <w:vAlign w:val="center"/>
          </w:tcPr>
          <w:p w:rsidR="005B1350" w:rsidRPr="00E433AB" w:rsidRDefault="005B1350" w:rsidP="00054651">
            <w:pPr>
              <w:contextualSpacing/>
              <w:jc w:val="center"/>
              <w:rPr>
                <w:rFonts w:eastAsiaTheme="minorHAnsi"/>
                <w:b/>
                <w:color w:val="000000"/>
                <w:sz w:val="21"/>
                <w:szCs w:val="21"/>
                <w:lang w:val="en-AU"/>
              </w:rPr>
            </w:pPr>
            <w:r w:rsidRPr="00E433AB">
              <w:rPr>
                <w:rFonts w:eastAsiaTheme="minorHAnsi"/>
                <w:b/>
                <w:color w:val="000000"/>
                <w:sz w:val="21"/>
                <w:szCs w:val="21"/>
                <w:lang w:val="en-AU"/>
              </w:rPr>
              <w:t>Bán đất</w:t>
            </w:r>
          </w:p>
        </w:tc>
        <w:tc>
          <w:tcPr>
            <w:tcW w:w="1276" w:type="dxa"/>
            <w:tcBorders>
              <w:left w:val="nil"/>
              <w:bottom w:val="single" w:sz="4" w:space="0" w:color="auto"/>
              <w:right w:val="nil"/>
              <w:tl2br w:val="nil"/>
            </w:tcBorders>
            <w:shd w:val="clear" w:color="auto" w:fill="auto"/>
            <w:vAlign w:val="center"/>
          </w:tcPr>
          <w:p w:rsidR="005B1350" w:rsidRPr="00E433AB" w:rsidRDefault="005B1350" w:rsidP="00054651">
            <w:pPr>
              <w:contextualSpacing/>
              <w:jc w:val="center"/>
              <w:rPr>
                <w:rFonts w:eastAsiaTheme="minorHAnsi"/>
                <w:b/>
                <w:color w:val="000000"/>
                <w:sz w:val="21"/>
                <w:szCs w:val="21"/>
                <w:lang w:val="en-AU"/>
              </w:rPr>
            </w:pPr>
            <w:r w:rsidRPr="00E433AB">
              <w:rPr>
                <w:rFonts w:eastAsiaTheme="minorHAnsi"/>
                <w:b/>
                <w:color w:val="000000"/>
                <w:sz w:val="21"/>
                <w:szCs w:val="21"/>
                <w:lang w:val="en-AU"/>
              </w:rPr>
              <w:t>Mua đất</w:t>
            </w:r>
          </w:p>
        </w:tc>
        <w:tc>
          <w:tcPr>
            <w:tcW w:w="1418" w:type="dxa"/>
            <w:tcBorders>
              <w:left w:val="nil"/>
              <w:bottom w:val="single" w:sz="4" w:space="0" w:color="auto"/>
              <w:right w:val="nil"/>
              <w:tl2br w:val="nil"/>
            </w:tcBorders>
            <w:vAlign w:val="center"/>
          </w:tcPr>
          <w:p w:rsidR="005B1350" w:rsidRPr="00E433AB" w:rsidRDefault="005B1350" w:rsidP="00054651">
            <w:pPr>
              <w:contextualSpacing/>
              <w:jc w:val="center"/>
              <w:rPr>
                <w:rFonts w:eastAsiaTheme="minorHAnsi"/>
                <w:b/>
                <w:color w:val="000000"/>
                <w:sz w:val="21"/>
                <w:szCs w:val="21"/>
                <w:lang w:val="en-AU"/>
              </w:rPr>
            </w:pPr>
            <w:r w:rsidRPr="00E433AB">
              <w:rPr>
                <w:rFonts w:eastAsiaTheme="minorHAnsi"/>
                <w:b/>
                <w:color w:val="000000"/>
                <w:sz w:val="21"/>
                <w:szCs w:val="21"/>
                <w:lang w:val="en-AU"/>
              </w:rPr>
              <w:t>Trung bình</w:t>
            </w:r>
          </w:p>
        </w:tc>
        <w:tc>
          <w:tcPr>
            <w:tcW w:w="1006" w:type="dxa"/>
            <w:tcBorders>
              <w:left w:val="nil"/>
              <w:bottom w:val="single" w:sz="4" w:space="0" w:color="auto"/>
              <w:right w:val="nil"/>
              <w:tl2br w:val="nil"/>
            </w:tcBorders>
            <w:vAlign w:val="center"/>
          </w:tcPr>
          <w:p w:rsidR="005B1350" w:rsidRPr="00E433AB" w:rsidRDefault="005B1350" w:rsidP="00054651">
            <w:pPr>
              <w:contextualSpacing/>
              <w:jc w:val="center"/>
              <w:rPr>
                <w:rFonts w:eastAsiaTheme="minorHAnsi"/>
                <w:b/>
                <w:color w:val="000000"/>
                <w:sz w:val="21"/>
                <w:szCs w:val="21"/>
                <w:lang w:val="en-AU"/>
              </w:rPr>
            </w:pPr>
            <w:r w:rsidRPr="00E433AB">
              <w:rPr>
                <w:rFonts w:eastAsiaTheme="minorHAnsi"/>
                <w:b/>
                <w:color w:val="000000"/>
                <w:sz w:val="21"/>
                <w:szCs w:val="21"/>
                <w:lang w:val="en-AU"/>
              </w:rPr>
              <w:t>Tỷ lệ</w:t>
            </w:r>
          </w:p>
        </w:tc>
      </w:tr>
      <w:tr w:rsidR="005B1350" w:rsidRPr="00B81639" w:rsidTr="0088357D">
        <w:trPr>
          <w:jc w:val="center"/>
        </w:trPr>
        <w:tc>
          <w:tcPr>
            <w:tcW w:w="4122" w:type="dxa"/>
            <w:tcBorders>
              <w:top w:val="single" w:sz="4" w:space="0" w:color="auto"/>
              <w:left w:val="nil"/>
              <w:bottom w:val="nil"/>
              <w:right w:val="nil"/>
            </w:tcBorders>
            <w:shd w:val="clear" w:color="auto" w:fill="auto"/>
            <w:vAlign w:val="center"/>
          </w:tcPr>
          <w:p w:rsidR="005B1350" w:rsidRPr="00990B28" w:rsidRDefault="005B1350" w:rsidP="0086091E">
            <w:pPr>
              <w:contextualSpacing/>
              <w:jc w:val="right"/>
              <w:rPr>
                <w:rFonts w:eastAsiaTheme="minorHAnsi"/>
                <w:color w:val="000000"/>
                <w:sz w:val="21"/>
                <w:szCs w:val="21"/>
              </w:rPr>
            </w:pPr>
            <w:r w:rsidRPr="00990B28">
              <w:rPr>
                <w:rFonts w:eastAsiaTheme="minorHAnsi"/>
                <w:color w:val="000000"/>
                <w:sz w:val="21"/>
                <w:szCs w:val="21"/>
              </w:rPr>
              <w:t>Thủ tục hành chính ph</w:t>
            </w:r>
            <w:r>
              <w:rPr>
                <w:rFonts w:eastAsiaTheme="minorHAnsi"/>
                <w:color w:val="000000"/>
                <w:sz w:val="21"/>
                <w:szCs w:val="21"/>
              </w:rPr>
              <w:t>ức tạp</w:t>
            </w:r>
          </w:p>
        </w:tc>
        <w:tc>
          <w:tcPr>
            <w:tcW w:w="1245" w:type="dxa"/>
            <w:tcBorders>
              <w:top w:val="single" w:sz="4" w:space="0" w:color="auto"/>
              <w:left w:val="nil"/>
              <w:bottom w:val="nil"/>
              <w:right w:val="nil"/>
            </w:tcBorders>
            <w:shd w:val="clear" w:color="auto" w:fill="auto"/>
            <w:vAlign w:val="bottom"/>
          </w:tcPr>
          <w:p w:rsidR="005B1350" w:rsidRPr="00B81639" w:rsidRDefault="005B1350" w:rsidP="00054651">
            <w:pPr>
              <w:contextualSpacing/>
              <w:jc w:val="center"/>
              <w:rPr>
                <w:rFonts w:eastAsiaTheme="minorHAnsi"/>
                <w:color w:val="000000"/>
                <w:sz w:val="21"/>
                <w:szCs w:val="21"/>
                <w:lang w:val="en-AU"/>
              </w:rPr>
            </w:pPr>
            <w:r w:rsidRPr="00B81639">
              <w:rPr>
                <w:rFonts w:eastAsiaTheme="minorHAnsi"/>
                <w:color w:val="000000"/>
                <w:sz w:val="21"/>
                <w:szCs w:val="21"/>
                <w:lang w:val="en-AU"/>
              </w:rPr>
              <w:t>34</w:t>
            </w:r>
          </w:p>
        </w:tc>
        <w:tc>
          <w:tcPr>
            <w:tcW w:w="1276" w:type="dxa"/>
            <w:tcBorders>
              <w:top w:val="single" w:sz="4" w:space="0" w:color="auto"/>
              <w:left w:val="nil"/>
              <w:bottom w:val="nil"/>
              <w:right w:val="nil"/>
            </w:tcBorders>
            <w:shd w:val="clear" w:color="auto" w:fill="auto"/>
            <w:vAlign w:val="bottom"/>
          </w:tcPr>
          <w:p w:rsidR="005B1350" w:rsidRPr="00B81639" w:rsidRDefault="005B1350" w:rsidP="00054651">
            <w:pPr>
              <w:contextualSpacing/>
              <w:jc w:val="center"/>
              <w:rPr>
                <w:rFonts w:eastAsiaTheme="minorHAnsi"/>
                <w:color w:val="000000"/>
                <w:sz w:val="21"/>
                <w:szCs w:val="21"/>
                <w:lang w:val="en-AU"/>
              </w:rPr>
            </w:pPr>
            <w:r w:rsidRPr="00B81639">
              <w:rPr>
                <w:rFonts w:eastAsiaTheme="minorHAnsi"/>
                <w:color w:val="000000"/>
                <w:sz w:val="21"/>
                <w:szCs w:val="21"/>
                <w:lang w:val="en-AU"/>
              </w:rPr>
              <w:t>45</w:t>
            </w:r>
          </w:p>
        </w:tc>
        <w:tc>
          <w:tcPr>
            <w:tcW w:w="1418" w:type="dxa"/>
            <w:tcBorders>
              <w:top w:val="single" w:sz="4" w:space="0" w:color="auto"/>
              <w:left w:val="nil"/>
              <w:bottom w:val="nil"/>
              <w:right w:val="nil"/>
            </w:tcBorders>
            <w:vAlign w:val="bottom"/>
          </w:tcPr>
          <w:p w:rsidR="005B1350" w:rsidRPr="00B81639" w:rsidRDefault="005B1350" w:rsidP="00054651">
            <w:pPr>
              <w:contextualSpacing/>
              <w:jc w:val="center"/>
              <w:rPr>
                <w:rFonts w:eastAsiaTheme="minorHAnsi"/>
                <w:color w:val="000000"/>
                <w:sz w:val="21"/>
                <w:szCs w:val="21"/>
                <w:lang w:val="en-AU"/>
              </w:rPr>
            </w:pPr>
            <w:r w:rsidRPr="00B81639">
              <w:rPr>
                <w:rFonts w:eastAsiaTheme="minorHAnsi"/>
                <w:color w:val="000000"/>
                <w:sz w:val="21"/>
                <w:szCs w:val="21"/>
                <w:lang w:val="en-AU"/>
              </w:rPr>
              <w:t>39.5</w:t>
            </w:r>
          </w:p>
        </w:tc>
        <w:tc>
          <w:tcPr>
            <w:tcW w:w="1006" w:type="dxa"/>
            <w:tcBorders>
              <w:top w:val="single" w:sz="4" w:space="0" w:color="auto"/>
              <w:left w:val="nil"/>
              <w:bottom w:val="nil"/>
              <w:right w:val="nil"/>
            </w:tcBorders>
            <w:vAlign w:val="bottom"/>
          </w:tcPr>
          <w:p w:rsidR="005B1350" w:rsidRPr="00B81639" w:rsidRDefault="005B1350" w:rsidP="00054651">
            <w:pPr>
              <w:contextualSpacing/>
              <w:jc w:val="right"/>
              <w:rPr>
                <w:rFonts w:eastAsiaTheme="minorHAnsi"/>
                <w:color w:val="000000"/>
                <w:sz w:val="21"/>
                <w:szCs w:val="21"/>
                <w:lang w:val="en-AU"/>
              </w:rPr>
            </w:pPr>
            <w:r w:rsidRPr="00B81639">
              <w:rPr>
                <w:rFonts w:eastAsiaTheme="minorHAnsi"/>
                <w:color w:val="000000"/>
                <w:sz w:val="21"/>
                <w:szCs w:val="21"/>
                <w:lang w:val="en-AU"/>
              </w:rPr>
              <w:t>32.92%</w:t>
            </w:r>
          </w:p>
        </w:tc>
      </w:tr>
      <w:tr w:rsidR="005B1350" w:rsidRPr="00B81639" w:rsidTr="0088357D">
        <w:trPr>
          <w:jc w:val="center"/>
        </w:trPr>
        <w:tc>
          <w:tcPr>
            <w:tcW w:w="4122" w:type="dxa"/>
            <w:tcBorders>
              <w:top w:val="nil"/>
              <w:left w:val="nil"/>
              <w:bottom w:val="nil"/>
              <w:right w:val="nil"/>
            </w:tcBorders>
            <w:shd w:val="clear" w:color="auto" w:fill="auto"/>
            <w:vAlign w:val="center"/>
          </w:tcPr>
          <w:p w:rsidR="005B1350" w:rsidRPr="00990B28" w:rsidRDefault="005B1350" w:rsidP="0086091E">
            <w:pPr>
              <w:contextualSpacing/>
              <w:jc w:val="right"/>
              <w:rPr>
                <w:rFonts w:eastAsiaTheme="minorHAnsi"/>
                <w:color w:val="000000"/>
                <w:sz w:val="21"/>
                <w:szCs w:val="21"/>
              </w:rPr>
            </w:pPr>
            <w:r w:rsidRPr="00990B28">
              <w:rPr>
                <w:rFonts w:eastAsiaTheme="minorHAnsi"/>
                <w:color w:val="000000"/>
                <w:sz w:val="21"/>
                <w:szCs w:val="21"/>
              </w:rPr>
              <w:t>Thiếu thông tin về quy hoạch sử dụng đ</w:t>
            </w:r>
            <w:r>
              <w:rPr>
                <w:rFonts w:eastAsiaTheme="minorHAnsi"/>
                <w:color w:val="000000"/>
                <w:sz w:val="21"/>
                <w:szCs w:val="21"/>
              </w:rPr>
              <w:t>ất</w:t>
            </w:r>
          </w:p>
        </w:tc>
        <w:tc>
          <w:tcPr>
            <w:tcW w:w="1245" w:type="dxa"/>
            <w:tcBorders>
              <w:top w:val="nil"/>
              <w:left w:val="nil"/>
              <w:bottom w:val="nil"/>
              <w:right w:val="nil"/>
            </w:tcBorders>
            <w:shd w:val="clear" w:color="auto" w:fill="auto"/>
            <w:vAlign w:val="bottom"/>
          </w:tcPr>
          <w:p w:rsidR="005B1350" w:rsidRPr="00B81639" w:rsidRDefault="005B1350" w:rsidP="00054651">
            <w:pPr>
              <w:contextualSpacing/>
              <w:jc w:val="center"/>
              <w:rPr>
                <w:rFonts w:eastAsiaTheme="minorHAnsi"/>
                <w:color w:val="000000"/>
                <w:sz w:val="21"/>
                <w:szCs w:val="21"/>
                <w:lang w:val="en-AU"/>
              </w:rPr>
            </w:pPr>
            <w:r w:rsidRPr="00B81639">
              <w:rPr>
                <w:rFonts w:eastAsiaTheme="minorHAnsi"/>
                <w:color w:val="000000"/>
                <w:sz w:val="21"/>
                <w:szCs w:val="21"/>
                <w:lang w:val="en-AU"/>
              </w:rPr>
              <w:t>22</w:t>
            </w:r>
          </w:p>
        </w:tc>
        <w:tc>
          <w:tcPr>
            <w:tcW w:w="1276" w:type="dxa"/>
            <w:tcBorders>
              <w:top w:val="nil"/>
              <w:left w:val="nil"/>
              <w:bottom w:val="nil"/>
              <w:right w:val="nil"/>
            </w:tcBorders>
            <w:shd w:val="clear" w:color="auto" w:fill="auto"/>
            <w:vAlign w:val="bottom"/>
          </w:tcPr>
          <w:p w:rsidR="005B1350" w:rsidRPr="00B81639" w:rsidRDefault="005B1350" w:rsidP="00054651">
            <w:pPr>
              <w:contextualSpacing/>
              <w:jc w:val="center"/>
              <w:rPr>
                <w:rFonts w:eastAsiaTheme="minorHAnsi"/>
                <w:color w:val="000000"/>
                <w:sz w:val="21"/>
                <w:szCs w:val="21"/>
                <w:lang w:val="en-AU"/>
              </w:rPr>
            </w:pPr>
            <w:r w:rsidRPr="00B81639">
              <w:rPr>
                <w:rFonts w:eastAsiaTheme="minorHAnsi"/>
                <w:color w:val="000000"/>
                <w:sz w:val="21"/>
                <w:szCs w:val="21"/>
                <w:lang w:val="en-AU"/>
              </w:rPr>
              <w:t>31</w:t>
            </w:r>
          </w:p>
        </w:tc>
        <w:tc>
          <w:tcPr>
            <w:tcW w:w="1418" w:type="dxa"/>
            <w:tcBorders>
              <w:top w:val="nil"/>
              <w:left w:val="nil"/>
              <w:bottom w:val="nil"/>
              <w:right w:val="nil"/>
            </w:tcBorders>
            <w:vAlign w:val="bottom"/>
          </w:tcPr>
          <w:p w:rsidR="005B1350" w:rsidRPr="00B81639" w:rsidRDefault="005B1350" w:rsidP="00054651">
            <w:pPr>
              <w:contextualSpacing/>
              <w:jc w:val="center"/>
              <w:rPr>
                <w:rFonts w:eastAsiaTheme="minorHAnsi"/>
                <w:color w:val="000000"/>
                <w:sz w:val="21"/>
                <w:szCs w:val="21"/>
                <w:lang w:val="en-AU"/>
              </w:rPr>
            </w:pPr>
            <w:r w:rsidRPr="00B81639">
              <w:rPr>
                <w:rFonts w:eastAsiaTheme="minorHAnsi"/>
                <w:color w:val="000000"/>
                <w:sz w:val="21"/>
                <w:szCs w:val="21"/>
                <w:lang w:val="en-AU"/>
              </w:rPr>
              <w:t>26.5</w:t>
            </w:r>
          </w:p>
        </w:tc>
        <w:tc>
          <w:tcPr>
            <w:tcW w:w="1006" w:type="dxa"/>
            <w:tcBorders>
              <w:top w:val="nil"/>
              <w:left w:val="nil"/>
              <w:bottom w:val="nil"/>
              <w:right w:val="nil"/>
            </w:tcBorders>
            <w:vAlign w:val="bottom"/>
          </w:tcPr>
          <w:p w:rsidR="005B1350" w:rsidRPr="00B81639" w:rsidRDefault="005B1350" w:rsidP="00054651">
            <w:pPr>
              <w:contextualSpacing/>
              <w:jc w:val="right"/>
              <w:rPr>
                <w:rFonts w:eastAsiaTheme="minorHAnsi"/>
                <w:color w:val="000000"/>
                <w:sz w:val="21"/>
                <w:szCs w:val="21"/>
                <w:lang w:val="en-AU"/>
              </w:rPr>
            </w:pPr>
            <w:r w:rsidRPr="00B81639">
              <w:rPr>
                <w:rFonts w:eastAsiaTheme="minorHAnsi"/>
                <w:color w:val="000000"/>
                <w:sz w:val="21"/>
                <w:szCs w:val="21"/>
                <w:lang w:val="en-AU"/>
              </w:rPr>
              <w:t>22.08%</w:t>
            </w:r>
          </w:p>
        </w:tc>
      </w:tr>
      <w:tr w:rsidR="005B1350" w:rsidRPr="00B81639" w:rsidTr="0088357D">
        <w:trPr>
          <w:jc w:val="center"/>
        </w:trPr>
        <w:tc>
          <w:tcPr>
            <w:tcW w:w="4122" w:type="dxa"/>
            <w:tcBorders>
              <w:top w:val="nil"/>
              <w:left w:val="nil"/>
              <w:bottom w:val="nil"/>
              <w:right w:val="nil"/>
            </w:tcBorders>
            <w:shd w:val="clear" w:color="auto" w:fill="auto"/>
            <w:vAlign w:val="center"/>
          </w:tcPr>
          <w:p w:rsidR="005B1350" w:rsidRPr="00B81639" w:rsidRDefault="005B1350" w:rsidP="0086091E">
            <w:pPr>
              <w:contextualSpacing/>
              <w:jc w:val="right"/>
              <w:rPr>
                <w:rFonts w:eastAsiaTheme="minorHAnsi"/>
                <w:color w:val="000000"/>
                <w:sz w:val="21"/>
                <w:szCs w:val="21"/>
                <w:lang w:val="en-AU"/>
              </w:rPr>
            </w:pPr>
            <w:r>
              <w:rPr>
                <w:rFonts w:eastAsiaTheme="minorHAnsi"/>
                <w:color w:val="000000"/>
                <w:sz w:val="21"/>
                <w:szCs w:val="21"/>
                <w:lang w:val="en-AU"/>
              </w:rPr>
              <w:t>Thuế, phí cao</w:t>
            </w:r>
          </w:p>
        </w:tc>
        <w:tc>
          <w:tcPr>
            <w:tcW w:w="1245" w:type="dxa"/>
            <w:tcBorders>
              <w:top w:val="nil"/>
              <w:left w:val="nil"/>
              <w:bottom w:val="nil"/>
              <w:right w:val="nil"/>
            </w:tcBorders>
            <w:shd w:val="clear" w:color="auto" w:fill="auto"/>
            <w:vAlign w:val="bottom"/>
          </w:tcPr>
          <w:p w:rsidR="005B1350" w:rsidRPr="00B81639" w:rsidRDefault="005B1350" w:rsidP="00054651">
            <w:pPr>
              <w:contextualSpacing/>
              <w:jc w:val="center"/>
              <w:rPr>
                <w:rFonts w:eastAsiaTheme="minorHAnsi"/>
                <w:color w:val="000000"/>
                <w:sz w:val="21"/>
                <w:szCs w:val="21"/>
                <w:lang w:val="en-AU"/>
              </w:rPr>
            </w:pPr>
            <w:r w:rsidRPr="00B81639">
              <w:rPr>
                <w:rFonts w:eastAsiaTheme="minorHAnsi"/>
                <w:color w:val="000000"/>
                <w:sz w:val="21"/>
                <w:szCs w:val="21"/>
                <w:lang w:val="en-AU"/>
              </w:rPr>
              <w:t>23</w:t>
            </w:r>
          </w:p>
        </w:tc>
        <w:tc>
          <w:tcPr>
            <w:tcW w:w="1276" w:type="dxa"/>
            <w:tcBorders>
              <w:top w:val="nil"/>
              <w:left w:val="nil"/>
              <w:bottom w:val="nil"/>
              <w:right w:val="nil"/>
            </w:tcBorders>
            <w:shd w:val="clear" w:color="auto" w:fill="auto"/>
            <w:vAlign w:val="bottom"/>
          </w:tcPr>
          <w:p w:rsidR="005B1350" w:rsidRPr="00B81639" w:rsidRDefault="005B1350" w:rsidP="00054651">
            <w:pPr>
              <w:contextualSpacing/>
              <w:jc w:val="center"/>
              <w:rPr>
                <w:rFonts w:eastAsiaTheme="minorHAnsi"/>
                <w:color w:val="000000"/>
                <w:sz w:val="21"/>
                <w:szCs w:val="21"/>
                <w:lang w:val="en-AU"/>
              </w:rPr>
            </w:pPr>
            <w:r w:rsidRPr="00B81639">
              <w:rPr>
                <w:rFonts w:eastAsiaTheme="minorHAnsi"/>
                <w:color w:val="000000"/>
                <w:sz w:val="21"/>
                <w:szCs w:val="21"/>
                <w:lang w:val="en-AU"/>
              </w:rPr>
              <w:t>28</w:t>
            </w:r>
          </w:p>
        </w:tc>
        <w:tc>
          <w:tcPr>
            <w:tcW w:w="1418" w:type="dxa"/>
            <w:tcBorders>
              <w:top w:val="nil"/>
              <w:left w:val="nil"/>
              <w:bottom w:val="nil"/>
              <w:right w:val="nil"/>
            </w:tcBorders>
            <w:vAlign w:val="bottom"/>
          </w:tcPr>
          <w:p w:rsidR="005B1350" w:rsidRPr="00B81639" w:rsidRDefault="005B1350" w:rsidP="00054651">
            <w:pPr>
              <w:contextualSpacing/>
              <w:jc w:val="center"/>
              <w:rPr>
                <w:rFonts w:eastAsiaTheme="minorHAnsi"/>
                <w:color w:val="000000"/>
                <w:sz w:val="21"/>
                <w:szCs w:val="21"/>
                <w:lang w:val="en-AU"/>
              </w:rPr>
            </w:pPr>
            <w:r w:rsidRPr="00B81639">
              <w:rPr>
                <w:rFonts w:eastAsiaTheme="minorHAnsi"/>
                <w:color w:val="000000"/>
                <w:sz w:val="21"/>
                <w:szCs w:val="21"/>
                <w:lang w:val="en-AU"/>
              </w:rPr>
              <w:t>25.5</w:t>
            </w:r>
          </w:p>
        </w:tc>
        <w:tc>
          <w:tcPr>
            <w:tcW w:w="1006" w:type="dxa"/>
            <w:tcBorders>
              <w:top w:val="nil"/>
              <w:left w:val="nil"/>
              <w:bottom w:val="nil"/>
              <w:right w:val="nil"/>
            </w:tcBorders>
            <w:vAlign w:val="bottom"/>
          </w:tcPr>
          <w:p w:rsidR="005B1350" w:rsidRPr="00B81639" w:rsidRDefault="005B1350" w:rsidP="00054651">
            <w:pPr>
              <w:contextualSpacing/>
              <w:jc w:val="right"/>
              <w:rPr>
                <w:rFonts w:eastAsiaTheme="minorHAnsi"/>
                <w:color w:val="000000"/>
                <w:sz w:val="21"/>
                <w:szCs w:val="21"/>
                <w:lang w:val="en-AU"/>
              </w:rPr>
            </w:pPr>
            <w:r w:rsidRPr="00B81639">
              <w:rPr>
                <w:rFonts w:eastAsiaTheme="minorHAnsi"/>
                <w:color w:val="000000"/>
                <w:sz w:val="21"/>
                <w:szCs w:val="21"/>
                <w:lang w:val="en-AU"/>
              </w:rPr>
              <w:t>21.25%</w:t>
            </w:r>
          </w:p>
        </w:tc>
      </w:tr>
      <w:tr w:rsidR="005B1350" w:rsidRPr="00B81639" w:rsidTr="0088357D">
        <w:trPr>
          <w:jc w:val="center"/>
        </w:trPr>
        <w:tc>
          <w:tcPr>
            <w:tcW w:w="4122" w:type="dxa"/>
            <w:tcBorders>
              <w:top w:val="nil"/>
              <w:left w:val="nil"/>
              <w:bottom w:val="nil"/>
              <w:right w:val="nil"/>
            </w:tcBorders>
            <w:shd w:val="clear" w:color="auto" w:fill="auto"/>
            <w:vAlign w:val="center"/>
          </w:tcPr>
          <w:p w:rsidR="005B1350" w:rsidRPr="00990B28" w:rsidRDefault="005B1350" w:rsidP="0086091E">
            <w:pPr>
              <w:contextualSpacing/>
              <w:jc w:val="right"/>
              <w:rPr>
                <w:rFonts w:eastAsiaTheme="minorHAnsi"/>
                <w:color w:val="000000"/>
                <w:sz w:val="21"/>
                <w:szCs w:val="21"/>
              </w:rPr>
            </w:pPr>
            <w:r w:rsidRPr="00990B28">
              <w:rPr>
                <w:rFonts w:eastAsiaTheme="minorHAnsi"/>
                <w:color w:val="000000"/>
                <w:sz w:val="21"/>
                <w:szCs w:val="21"/>
              </w:rPr>
              <w:t>Thiếu thông tin về giá đất</w:t>
            </w:r>
          </w:p>
        </w:tc>
        <w:tc>
          <w:tcPr>
            <w:tcW w:w="1245" w:type="dxa"/>
            <w:tcBorders>
              <w:top w:val="nil"/>
              <w:left w:val="nil"/>
              <w:bottom w:val="nil"/>
              <w:right w:val="nil"/>
            </w:tcBorders>
            <w:shd w:val="clear" w:color="auto" w:fill="auto"/>
            <w:vAlign w:val="bottom"/>
          </w:tcPr>
          <w:p w:rsidR="005B1350" w:rsidRPr="00B81639" w:rsidRDefault="005B1350" w:rsidP="00054651">
            <w:pPr>
              <w:contextualSpacing/>
              <w:jc w:val="center"/>
              <w:rPr>
                <w:rFonts w:eastAsiaTheme="minorHAnsi"/>
                <w:color w:val="000000"/>
                <w:sz w:val="21"/>
                <w:szCs w:val="21"/>
                <w:lang w:val="en-AU"/>
              </w:rPr>
            </w:pPr>
            <w:r w:rsidRPr="00B81639">
              <w:rPr>
                <w:rFonts w:eastAsiaTheme="minorHAnsi"/>
                <w:color w:val="000000"/>
                <w:sz w:val="21"/>
                <w:szCs w:val="21"/>
                <w:lang w:val="en-AU"/>
              </w:rPr>
              <w:t>27</w:t>
            </w:r>
          </w:p>
        </w:tc>
        <w:tc>
          <w:tcPr>
            <w:tcW w:w="1276" w:type="dxa"/>
            <w:tcBorders>
              <w:top w:val="nil"/>
              <w:left w:val="nil"/>
              <w:bottom w:val="nil"/>
              <w:right w:val="nil"/>
            </w:tcBorders>
            <w:shd w:val="clear" w:color="auto" w:fill="auto"/>
            <w:vAlign w:val="bottom"/>
          </w:tcPr>
          <w:p w:rsidR="005B1350" w:rsidRPr="00B81639" w:rsidRDefault="005B1350" w:rsidP="00054651">
            <w:pPr>
              <w:contextualSpacing/>
              <w:jc w:val="center"/>
              <w:rPr>
                <w:rFonts w:eastAsiaTheme="minorHAnsi"/>
                <w:color w:val="000000"/>
                <w:sz w:val="21"/>
                <w:szCs w:val="21"/>
                <w:lang w:val="en-AU"/>
              </w:rPr>
            </w:pPr>
            <w:r w:rsidRPr="00B81639">
              <w:rPr>
                <w:rFonts w:eastAsiaTheme="minorHAnsi"/>
                <w:color w:val="000000"/>
                <w:sz w:val="21"/>
                <w:szCs w:val="21"/>
                <w:lang w:val="en-AU"/>
              </w:rPr>
              <w:t>12</w:t>
            </w:r>
          </w:p>
        </w:tc>
        <w:tc>
          <w:tcPr>
            <w:tcW w:w="1418" w:type="dxa"/>
            <w:tcBorders>
              <w:top w:val="nil"/>
              <w:left w:val="nil"/>
              <w:bottom w:val="nil"/>
              <w:right w:val="nil"/>
            </w:tcBorders>
            <w:vAlign w:val="bottom"/>
          </w:tcPr>
          <w:p w:rsidR="005B1350" w:rsidRPr="00B81639" w:rsidRDefault="005B1350" w:rsidP="00054651">
            <w:pPr>
              <w:contextualSpacing/>
              <w:jc w:val="center"/>
              <w:rPr>
                <w:rFonts w:eastAsiaTheme="minorHAnsi"/>
                <w:color w:val="000000"/>
                <w:sz w:val="21"/>
                <w:szCs w:val="21"/>
                <w:lang w:val="en-AU"/>
              </w:rPr>
            </w:pPr>
            <w:r w:rsidRPr="00B81639">
              <w:rPr>
                <w:rFonts w:eastAsiaTheme="minorHAnsi"/>
                <w:color w:val="000000"/>
                <w:sz w:val="21"/>
                <w:szCs w:val="21"/>
                <w:lang w:val="en-AU"/>
              </w:rPr>
              <w:t>19.5</w:t>
            </w:r>
          </w:p>
        </w:tc>
        <w:tc>
          <w:tcPr>
            <w:tcW w:w="1006" w:type="dxa"/>
            <w:tcBorders>
              <w:top w:val="nil"/>
              <w:left w:val="nil"/>
              <w:bottom w:val="nil"/>
              <w:right w:val="nil"/>
            </w:tcBorders>
            <w:vAlign w:val="bottom"/>
          </w:tcPr>
          <w:p w:rsidR="005B1350" w:rsidRPr="00B81639" w:rsidRDefault="005B1350" w:rsidP="00054651">
            <w:pPr>
              <w:contextualSpacing/>
              <w:jc w:val="right"/>
              <w:rPr>
                <w:rFonts w:eastAsiaTheme="minorHAnsi"/>
                <w:color w:val="000000"/>
                <w:sz w:val="21"/>
                <w:szCs w:val="21"/>
                <w:lang w:val="en-AU"/>
              </w:rPr>
            </w:pPr>
            <w:r w:rsidRPr="00B81639">
              <w:rPr>
                <w:rFonts w:eastAsiaTheme="minorHAnsi"/>
                <w:color w:val="000000"/>
                <w:sz w:val="21"/>
                <w:szCs w:val="21"/>
                <w:lang w:val="en-AU"/>
              </w:rPr>
              <w:t>16.25%</w:t>
            </w:r>
          </w:p>
        </w:tc>
      </w:tr>
      <w:tr w:rsidR="005B1350" w:rsidRPr="00B81639" w:rsidTr="0088357D">
        <w:trPr>
          <w:jc w:val="center"/>
        </w:trPr>
        <w:tc>
          <w:tcPr>
            <w:tcW w:w="4122" w:type="dxa"/>
            <w:tcBorders>
              <w:top w:val="nil"/>
              <w:left w:val="nil"/>
              <w:bottom w:val="nil"/>
              <w:right w:val="nil"/>
            </w:tcBorders>
            <w:shd w:val="clear" w:color="auto" w:fill="auto"/>
            <w:vAlign w:val="center"/>
          </w:tcPr>
          <w:p w:rsidR="005B1350" w:rsidRPr="00B81639" w:rsidRDefault="005B1350" w:rsidP="0086091E">
            <w:pPr>
              <w:contextualSpacing/>
              <w:jc w:val="right"/>
              <w:rPr>
                <w:rFonts w:eastAsiaTheme="minorHAnsi"/>
                <w:color w:val="000000"/>
                <w:sz w:val="21"/>
                <w:szCs w:val="21"/>
                <w:lang w:val="en-AU"/>
              </w:rPr>
            </w:pPr>
            <w:r>
              <w:rPr>
                <w:rFonts w:eastAsiaTheme="minorHAnsi"/>
                <w:color w:val="000000"/>
                <w:sz w:val="21"/>
                <w:szCs w:val="21"/>
                <w:lang w:val="en-AU"/>
              </w:rPr>
              <w:t>Mất thời gian</w:t>
            </w:r>
          </w:p>
        </w:tc>
        <w:tc>
          <w:tcPr>
            <w:tcW w:w="1245" w:type="dxa"/>
            <w:tcBorders>
              <w:top w:val="nil"/>
              <w:left w:val="nil"/>
              <w:bottom w:val="nil"/>
              <w:right w:val="nil"/>
            </w:tcBorders>
            <w:shd w:val="clear" w:color="auto" w:fill="auto"/>
            <w:vAlign w:val="bottom"/>
          </w:tcPr>
          <w:p w:rsidR="005B1350" w:rsidRPr="00B81639" w:rsidRDefault="005B1350" w:rsidP="00054651">
            <w:pPr>
              <w:contextualSpacing/>
              <w:jc w:val="center"/>
              <w:rPr>
                <w:rFonts w:eastAsiaTheme="minorHAnsi"/>
                <w:color w:val="000000"/>
                <w:sz w:val="21"/>
                <w:szCs w:val="21"/>
                <w:lang w:val="en-AU"/>
              </w:rPr>
            </w:pPr>
            <w:r w:rsidRPr="00B81639">
              <w:rPr>
                <w:rFonts w:eastAsiaTheme="minorHAnsi"/>
                <w:color w:val="000000"/>
                <w:sz w:val="21"/>
                <w:szCs w:val="21"/>
                <w:lang w:val="en-AU"/>
              </w:rPr>
              <w:t>13</w:t>
            </w:r>
          </w:p>
        </w:tc>
        <w:tc>
          <w:tcPr>
            <w:tcW w:w="1276" w:type="dxa"/>
            <w:tcBorders>
              <w:top w:val="nil"/>
              <w:left w:val="nil"/>
              <w:bottom w:val="nil"/>
              <w:right w:val="nil"/>
            </w:tcBorders>
            <w:shd w:val="clear" w:color="auto" w:fill="auto"/>
            <w:vAlign w:val="bottom"/>
          </w:tcPr>
          <w:p w:rsidR="005B1350" w:rsidRPr="00B81639" w:rsidRDefault="005B1350" w:rsidP="00054651">
            <w:pPr>
              <w:contextualSpacing/>
              <w:jc w:val="center"/>
              <w:rPr>
                <w:rFonts w:eastAsiaTheme="minorHAnsi"/>
                <w:color w:val="000000"/>
                <w:sz w:val="21"/>
                <w:szCs w:val="21"/>
                <w:lang w:val="en-AU"/>
              </w:rPr>
            </w:pPr>
            <w:r w:rsidRPr="00B81639">
              <w:rPr>
                <w:rFonts w:eastAsiaTheme="minorHAnsi"/>
                <w:color w:val="000000"/>
                <w:sz w:val="21"/>
                <w:szCs w:val="21"/>
                <w:lang w:val="en-AU"/>
              </w:rPr>
              <w:t>4</w:t>
            </w:r>
          </w:p>
        </w:tc>
        <w:tc>
          <w:tcPr>
            <w:tcW w:w="1418" w:type="dxa"/>
            <w:tcBorders>
              <w:top w:val="nil"/>
              <w:left w:val="nil"/>
              <w:bottom w:val="nil"/>
              <w:right w:val="nil"/>
            </w:tcBorders>
            <w:vAlign w:val="bottom"/>
          </w:tcPr>
          <w:p w:rsidR="005B1350" w:rsidRPr="00B81639" w:rsidRDefault="005B1350" w:rsidP="00054651">
            <w:pPr>
              <w:contextualSpacing/>
              <w:jc w:val="center"/>
              <w:rPr>
                <w:rFonts w:eastAsiaTheme="minorHAnsi"/>
                <w:color w:val="000000"/>
                <w:sz w:val="21"/>
                <w:szCs w:val="21"/>
                <w:lang w:val="en-AU"/>
              </w:rPr>
            </w:pPr>
            <w:r w:rsidRPr="00B81639">
              <w:rPr>
                <w:rFonts w:eastAsiaTheme="minorHAnsi"/>
                <w:color w:val="000000"/>
                <w:sz w:val="21"/>
                <w:szCs w:val="21"/>
                <w:lang w:val="en-AU"/>
              </w:rPr>
              <w:t>8.5</w:t>
            </w:r>
          </w:p>
        </w:tc>
        <w:tc>
          <w:tcPr>
            <w:tcW w:w="1006" w:type="dxa"/>
            <w:tcBorders>
              <w:top w:val="nil"/>
              <w:left w:val="nil"/>
              <w:bottom w:val="nil"/>
              <w:right w:val="nil"/>
            </w:tcBorders>
            <w:vAlign w:val="bottom"/>
          </w:tcPr>
          <w:p w:rsidR="005B1350" w:rsidRPr="00B81639" w:rsidRDefault="005B1350" w:rsidP="00054651">
            <w:pPr>
              <w:contextualSpacing/>
              <w:jc w:val="right"/>
              <w:rPr>
                <w:rFonts w:eastAsiaTheme="minorHAnsi"/>
                <w:color w:val="000000"/>
                <w:sz w:val="21"/>
                <w:szCs w:val="21"/>
                <w:lang w:val="en-AU"/>
              </w:rPr>
            </w:pPr>
            <w:r w:rsidRPr="00B81639">
              <w:rPr>
                <w:rFonts w:eastAsiaTheme="minorHAnsi"/>
                <w:color w:val="000000"/>
                <w:sz w:val="21"/>
                <w:szCs w:val="21"/>
                <w:lang w:val="en-AU"/>
              </w:rPr>
              <w:t>7.08%</w:t>
            </w:r>
          </w:p>
        </w:tc>
      </w:tr>
      <w:tr w:rsidR="005B1350" w:rsidRPr="00B81639" w:rsidTr="0086091E">
        <w:trPr>
          <w:jc w:val="center"/>
        </w:trPr>
        <w:tc>
          <w:tcPr>
            <w:tcW w:w="4122" w:type="dxa"/>
            <w:tcBorders>
              <w:top w:val="nil"/>
              <w:left w:val="nil"/>
              <w:bottom w:val="single" w:sz="4" w:space="0" w:color="auto"/>
              <w:right w:val="nil"/>
            </w:tcBorders>
            <w:shd w:val="clear" w:color="auto" w:fill="auto"/>
            <w:vAlign w:val="center"/>
          </w:tcPr>
          <w:p w:rsidR="005B1350" w:rsidRPr="00B81639" w:rsidRDefault="005B1350" w:rsidP="0086091E">
            <w:pPr>
              <w:contextualSpacing/>
              <w:jc w:val="right"/>
              <w:rPr>
                <w:rFonts w:eastAsiaTheme="minorHAnsi"/>
                <w:color w:val="000000"/>
                <w:sz w:val="21"/>
                <w:szCs w:val="21"/>
                <w:lang w:val="en-AU"/>
              </w:rPr>
            </w:pPr>
            <w:r>
              <w:rPr>
                <w:rFonts w:eastAsiaTheme="minorHAnsi"/>
                <w:color w:val="000000"/>
                <w:sz w:val="21"/>
                <w:szCs w:val="21"/>
                <w:lang w:val="en-AU"/>
              </w:rPr>
              <w:t>Các vấn đề khác</w:t>
            </w:r>
          </w:p>
        </w:tc>
        <w:tc>
          <w:tcPr>
            <w:tcW w:w="1245" w:type="dxa"/>
            <w:tcBorders>
              <w:top w:val="nil"/>
              <w:left w:val="nil"/>
              <w:bottom w:val="single" w:sz="4" w:space="0" w:color="auto"/>
              <w:right w:val="nil"/>
            </w:tcBorders>
            <w:shd w:val="clear" w:color="auto" w:fill="auto"/>
            <w:vAlign w:val="bottom"/>
          </w:tcPr>
          <w:p w:rsidR="005B1350" w:rsidRPr="00B81639" w:rsidRDefault="005B1350" w:rsidP="00054651">
            <w:pPr>
              <w:contextualSpacing/>
              <w:jc w:val="center"/>
              <w:rPr>
                <w:rFonts w:eastAsiaTheme="minorHAnsi"/>
                <w:color w:val="000000"/>
                <w:sz w:val="21"/>
                <w:szCs w:val="21"/>
                <w:lang w:val="en-AU"/>
              </w:rPr>
            </w:pPr>
            <w:r w:rsidRPr="00B81639">
              <w:rPr>
                <w:rFonts w:eastAsiaTheme="minorHAnsi"/>
                <w:color w:val="000000"/>
                <w:sz w:val="21"/>
                <w:szCs w:val="21"/>
                <w:lang w:val="en-AU"/>
              </w:rPr>
              <w:t>1</w:t>
            </w:r>
          </w:p>
        </w:tc>
        <w:tc>
          <w:tcPr>
            <w:tcW w:w="1276" w:type="dxa"/>
            <w:tcBorders>
              <w:top w:val="nil"/>
              <w:left w:val="nil"/>
              <w:bottom w:val="single" w:sz="4" w:space="0" w:color="auto"/>
              <w:right w:val="nil"/>
            </w:tcBorders>
            <w:shd w:val="clear" w:color="auto" w:fill="auto"/>
            <w:vAlign w:val="bottom"/>
          </w:tcPr>
          <w:p w:rsidR="005B1350" w:rsidRPr="00B81639" w:rsidRDefault="005B1350" w:rsidP="00054651">
            <w:pPr>
              <w:contextualSpacing/>
              <w:jc w:val="center"/>
              <w:rPr>
                <w:rFonts w:eastAsiaTheme="minorHAnsi"/>
                <w:color w:val="000000"/>
                <w:sz w:val="21"/>
                <w:szCs w:val="21"/>
                <w:lang w:val="en-AU"/>
              </w:rPr>
            </w:pPr>
            <w:r w:rsidRPr="00B81639">
              <w:rPr>
                <w:rFonts w:eastAsiaTheme="minorHAnsi"/>
                <w:color w:val="000000"/>
                <w:sz w:val="21"/>
                <w:szCs w:val="21"/>
                <w:lang w:val="en-AU"/>
              </w:rPr>
              <w:t>0</w:t>
            </w:r>
          </w:p>
        </w:tc>
        <w:tc>
          <w:tcPr>
            <w:tcW w:w="1418" w:type="dxa"/>
            <w:tcBorders>
              <w:top w:val="nil"/>
              <w:left w:val="nil"/>
              <w:bottom w:val="single" w:sz="4" w:space="0" w:color="auto"/>
              <w:right w:val="nil"/>
            </w:tcBorders>
            <w:vAlign w:val="bottom"/>
          </w:tcPr>
          <w:p w:rsidR="005B1350" w:rsidRPr="00B81639" w:rsidRDefault="005B1350" w:rsidP="00054651">
            <w:pPr>
              <w:contextualSpacing/>
              <w:jc w:val="center"/>
              <w:rPr>
                <w:rFonts w:eastAsiaTheme="minorHAnsi"/>
                <w:color w:val="000000"/>
                <w:sz w:val="21"/>
                <w:szCs w:val="21"/>
                <w:lang w:val="en-AU"/>
              </w:rPr>
            </w:pPr>
            <w:r w:rsidRPr="00B81639">
              <w:rPr>
                <w:rFonts w:eastAsiaTheme="minorHAnsi"/>
                <w:color w:val="000000"/>
                <w:sz w:val="21"/>
                <w:szCs w:val="21"/>
                <w:lang w:val="en-AU"/>
              </w:rPr>
              <w:t>0.5</w:t>
            </w:r>
          </w:p>
        </w:tc>
        <w:tc>
          <w:tcPr>
            <w:tcW w:w="1006" w:type="dxa"/>
            <w:tcBorders>
              <w:top w:val="nil"/>
              <w:left w:val="nil"/>
              <w:bottom w:val="single" w:sz="4" w:space="0" w:color="auto"/>
              <w:right w:val="nil"/>
            </w:tcBorders>
            <w:vAlign w:val="bottom"/>
          </w:tcPr>
          <w:p w:rsidR="005B1350" w:rsidRPr="00B81639" w:rsidRDefault="005B1350" w:rsidP="00054651">
            <w:pPr>
              <w:contextualSpacing/>
              <w:jc w:val="right"/>
              <w:rPr>
                <w:rFonts w:eastAsiaTheme="minorHAnsi"/>
                <w:color w:val="000000"/>
                <w:sz w:val="21"/>
                <w:szCs w:val="21"/>
                <w:lang w:val="en-AU"/>
              </w:rPr>
            </w:pPr>
            <w:r w:rsidRPr="00B81639">
              <w:rPr>
                <w:rFonts w:eastAsiaTheme="minorHAnsi"/>
                <w:color w:val="000000"/>
                <w:sz w:val="21"/>
                <w:szCs w:val="21"/>
                <w:lang w:val="en-AU"/>
              </w:rPr>
              <w:t>0.42%</w:t>
            </w:r>
          </w:p>
        </w:tc>
      </w:tr>
      <w:tr w:rsidR="005B1350" w:rsidRPr="00B81639" w:rsidTr="0086091E">
        <w:trPr>
          <w:jc w:val="center"/>
        </w:trPr>
        <w:tc>
          <w:tcPr>
            <w:tcW w:w="4122" w:type="dxa"/>
            <w:tcBorders>
              <w:top w:val="single" w:sz="4" w:space="0" w:color="auto"/>
              <w:left w:val="nil"/>
              <w:right w:val="nil"/>
            </w:tcBorders>
            <w:shd w:val="clear" w:color="auto" w:fill="auto"/>
            <w:vAlign w:val="center"/>
          </w:tcPr>
          <w:p w:rsidR="005B1350" w:rsidRPr="00B81639" w:rsidRDefault="005B1350" w:rsidP="00054651">
            <w:pPr>
              <w:contextualSpacing/>
              <w:jc w:val="right"/>
              <w:rPr>
                <w:rFonts w:eastAsiaTheme="minorHAnsi"/>
                <w:color w:val="000000"/>
                <w:sz w:val="21"/>
                <w:szCs w:val="21"/>
                <w:lang w:val="en-AU"/>
              </w:rPr>
            </w:pPr>
            <w:r>
              <w:rPr>
                <w:rFonts w:eastAsiaTheme="minorHAnsi"/>
                <w:color w:val="000000"/>
                <w:sz w:val="21"/>
                <w:szCs w:val="21"/>
                <w:lang w:val="en-AU"/>
              </w:rPr>
              <w:t>Tổng</w:t>
            </w:r>
            <w:r w:rsidRPr="00B81639">
              <w:rPr>
                <w:color w:val="000000"/>
                <w:sz w:val="21"/>
                <w:szCs w:val="21"/>
                <w:vertAlign w:val="superscript"/>
                <w:lang w:val="en-AU"/>
              </w:rPr>
              <w:footnoteReference w:id="2"/>
            </w:r>
          </w:p>
        </w:tc>
        <w:tc>
          <w:tcPr>
            <w:tcW w:w="1245" w:type="dxa"/>
            <w:tcBorders>
              <w:top w:val="single" w:sz="4" w:space="0" w:color="auto"/>
              <w:left w:val="nil"/>
              <w:right w:val="nil"/>
            </w:tcBorders>
            <w:shd w:val="clear" w:color="auto" w:fill="auto"/>
            <w:vAlign w:val="bottom"/>
          </w:tcPr>
          <w:p w:rsidR="005B1350" w:rsidRPr="00B81639" w:rsidRDefault="005B1350" w:rsidP="00054651">
            <w:pPr>
              <w:contextualSpacing/>
              <w:jc w:val="center"/>
              <w:rPr>
                <w:rFonts w:eastAsiaTheme="minorHAnsi"/>
                <w:color w:val="000000"/>
                <w:sz w:val="21"/>
                <w:szCs w:val="21"/>
                <w:lang w:val="en-AU"/>
              </w:rPr>
            </w:pPr>
            <w:r w:rsidRPr="00B81639">
              <w:rPr>
                <w:rFonts w:eastAsiaTheme="minorHAnsi"/>
                <w:color w:val="000000"/>
                <w:sz w:val="21"/>
                <w:szCs w:val="21"/>
                <w:lang w:val="en-AU"/>
              </w:rPr>
              <w:t>120</w:t>
            </w:r>
          </w:p>
        </w:tc>
        <w:tc>
          <w:tcPr>
            <w:tcW w:w="1276" w:type="dxa"/>
            <w:tcBorders>
              <w:top w:val="single" w:sz="4" w:space="0" w:color="auto"/>
              <w:left w:val="nil"/>
              <w:right w:val="nil"/>
            </w:tcBorders>
            <w:shd w:val="clear" w:color="auto" w:fill="auto"/>
            <w:vAlign w:val="bottom"/>
          </w:tcPr>
          <w:p w:rsidR="005B1350" w:rsidRPr="00B81639" w:rsidRDefault="005B1350" w:rsidP="00054651">
            <w:pPr>
              <w:contextualSpacing/>
              <w:jc w:val="center"/>
              <w:rPr>
                <w:rFonts w:eastAsiaTheme="minorHAnsi"/>
                <w:color w:val="000000"/>
                <w:sz w:val="21"/>
                <w:szCs w:val="21"/>
                <w:lang w:val="en-AU"/>
              </w:rPr>
            </w:pPr>
            <w:r w:rsidRPr="00B81639">
              <w:rPr>
                <w:rFonts w:eastAsiaTheme="minorHAnsi"/>
                <w:color w:val="000000"/>
                <w:sz w:val="21"/>
                <w:szCs w:val="21"/>
                <w:lang w:val="en-AU"/>
              </w:rPr>
              <w:t>120</w:t>
            </w:r>
          </w:p>
        </w:tc>
        <w:tc>
          <w:tcPr>
            <w:tcW w:w="1418" w:type="dxa"/>
            <w:tcBorders>
              <w:top w:val="single" w:sz="4" w:space="0" w:color="auto"/>
              <w:left w:val="nil"/>
              <w:right w:val="nil"/>
            </w:tcBorders>
            <w:vAlign w:val="bottom"/>
          </w:tcPr>
          <w:p w:rsidR="005B1350" w:rsidRPr="00B81639" w:rsidRDefault="005B1350" w:rsidP="00054651">
            <w:pPr>
              <w:contextualSpacing/>
              <w:jc w:val="center"/>
              <w:rPr>
                <w:rFonts w:eastAsiaTheme="minorHAnsi"/>
                <w:color w:val="000000"/>
                <w:sz w:val="21"/>
                <w:szCs w:val="21"/>
                <w:lang w:val="en-AU"/>
              </w:rPr>
            </w:pPr>
            <w:r w:rsidRPr="00B81639">
              <w:rPr>
                <w:rFonts w:eastAsiaTheme="minorHAnsi"/>
                <w:color w:val="000000"/>
                <w:sz w:val="21"/>
                <w:szCs w:val="21"/>
                <w:lang w:val="en-AU"/>
              </w:rPr>
              <w:t>120</w:t>
            </w:r>
          </w:p>
        </w:tc>
        <w:tc>
          <w:tcPr>
            <w:tcW w:w="1006" w:type="dxa"/>
            <w:tcBorders>
              <w:top w:val="single" w:sz="4" w:space="0" w:color="auto"/>
              <w:left w:val="nil"/>
              <w:right w:val="nil"/>
            </w:tcBorders>
            <w:vAlign w:val="bottom"/>
          </w:tcPr>
          <w:p w:rsidR="005B1350" w:rsidRPr="00B81639" w:rsidRDefault="005B1350" w:rsidP="00054651">
            <w:pPr>
              <w:contextualSpacing/>
              <w:jc w:val="right"/>
              <w:rPr>
                <w:rFonts w:eastAsiaTheme="minorHAnsi"/>
                <w:color w:val="000000"/>
                <w:sz w:val="21"/>
                <w:szCs w:val="21"/>
                <w:lang w:val="en-AU"/>
              </w:rPr>
            </w:pPr>
            <w:r w:rsidRPr="00B81639">
              <w:rPr>
                <w:rFonts w:eastAsiaTheme="minorHAnsi"/>
                <w:color w:val="000000"/>
                <w:sz w:val="21"/>
                <w:szCs w:val="21"/>
                <w:lang w:val="en-AU"/>
              </w:rPr>
              <w:t>100.00%</w:t>
            </w:r>
          </w:p>
        </w:tc>
      </w:tr>
    </w:tbl>
    <w:p w:rsidR="005B1350" w:rsidRDefault="005B1350" w:rsidP="00054651">
      <w:pPr>
        <w:pStyle w:val="BodyText"/>
        <w:jc w:val="both"/>
        <w:rPr>
          <w:sz w:val="26"/>
          <w:szCs w:val="26"/>
        </w:rPr>
      </w:pPr>
    </w:p>
    <w:p w:rsidR="005B1350" w:rsidRPr="00266CE2" w:rsidRDefault="005B1350" w:rsidP="00054651">
      <w:pPr>
        <w:pStyle w:val="BodyText"/>
        <w:jc w:val="both"/>
        <w:rPr>
          <w:sz w:val="26"/>
          <w:szCs w:val="26"/>
        </w:rPr>
      </w:pPr>
      <w:r w:rsidRPr="00266CE2">
        <w:rPr>
          <w:sz w:val="26"/>
          <w:szCs w:val="26"/>
        </w:rPr>
        <w:t>Gần một phần ba (32,92%) số người được hỏi cho rằng sự phức tạp của thủ tục hành chính là rào cản lớn nhất cản trở họ thực hiện các thủ tục đăng ký đất đai. Rào cản lớn tiếp theo được nhận định là do thiếu thông tin quy hoạch sử dụng đất với trung bình 22,08% số người được hỏi. Tuy nhiên, có một sự khác biệt trong các câu trả lời giữa người bán và người mua đất. Trong khi 22,13% số người bán cho biết thiếu thông tin về giá trị đất là yếu tố lớn thứ hai; 25,41% người mua thừa nhận là do khó khăn trong việc tiếp cận với quy hoạch sử dụng đất, liên quan đến mục đích sử dụng đất, thu hồi đất, và bồi thường đất đai là tác động thứ hai đến quyết định của họ.</w:t>
      </w:r>
    </w:p>
    <w:p w:rsidR="005B1350" w:rsidRPr="00266CE2" w:rsidRDefault="005B1350" w:rsidP="00054651">
      <w:pPr>
        <w:pStyle w:val="BodyText"/>
        <w:jc w:val="both"/>
        <w:rPr>
          <w:sz w:val="26"/>
          <w:szCs w:val="26"/>
        </w:rPr>
      </w:pPr>
    </w:p>
    <w:p w:rsidR="005B1350" w:rsidRPr="00266CE2" w:rsidRDefault="005B1350" w:rsidP="00054651">
      <w:pPr>
        <w:pStyle w:val="BodyText"/>
        <w:jc w:val="both"/>
        <w:rPr>
          <w:sz w:val="26"/>
          <w:szCs w:val="26"/>
        </w:rPr>
      </w:pPr>
      <w:r w:rsidRPr="00266CE2">
        <w:rPr>
          <w:sz w:val="26"/>
          <w:szCs w:val="26"/>
        </w:rPr>
        <w:t>Thời gian đăng ký dịch vụ đăng ký đất đai không được coi là rào cản đáng kể cho cả người bán và người mua quyền sử dụng đất. Trong số các câu trả lời, chỉ có 13 người bán và 4 người mua nói rằng yếu tố thời gian là yếu tố lớn nhất để hoàn thành đăng ký đất đai. Trung binh chỉ có 7,08% số người được hỏi nhận định về yếu tố này.</w:t>
      </w:r>
    </w:p>
    <w:p w:rsidR="005B1350" w:rsidRPr="00266CE2" w:rsidRDefault="005B1350" w:rsidP="00054651">
      <w:pPr>
        <w:pStyle w:val="BodyText"/>
        <w:jc w:val="both"/>
        <w:rPr>
          <w:sz w:val="26"/>
          <w:szCs w:val="26"/>
          <w:lang w:val="vi-VN"/>
        </w:rPr>
      </w:pPr>
    </w:p>
    <w:p w:rsidR="005B1350" w:rsidRPr="00266CE2" w:rsidRDefault="005B1350" w:rsidP="00054651">
      <w:pPr>
        <w:pStyle w:val="BodyText"/>
        <w:jc w:val="both"/>
        <w:rPr>
          <w:sz w:val="26"/>
          <w:szCs w:val="26"/>
          <w:lang w:val="vi-VN"/>
        </w:rPr>
      </w:pPr>
      <w:r w:rsidRPr="00266CE2">
        <w:rPr>
          <w:sz w:val="26"/>
          <w:szCs w:val="26"/>
          <w:lang w:val="vi-VN"/>
        </w:rPr>
        <w:t xml:space="preserve">Nhìn chung, kết quả khảo sát nêu trên phù hợp với kết quả thảo luận tại các nhóm. Mặc dù vậy, có một số khác biệt giữa cộng đồng dân cư nông thôn và thành thị. Những người tham gia tham vấn sống ở khu đô thị và bán đô thị thường lo ngại về quy hoạch sử dụng đất; người dân sống ở nông thôn lại cho rằng phí, lệ phí và thuế là những rào cản lớn. Đã có 34 ý kiến ​​từ các người tham dự được ghi nhận về các rào cản đối với dịch vụ đăng ký đất đai. Kết quả được tóm tắt và có thể được phân thành hai nhóm: </w:t>
      </w:r>
      <w:r w:rsidRPr="00266CE2">
        <w:rPr>
          <w:i/>
          <w:sz w:val="26"/>
          <w:szCs w:val="26"/>
          <w:lang w:val="vi-VN"/>
        </w:rPr>
        <w:t>cung cấp thông tin đất đai</w:t>
      </w:r>
      <w:r w:rsidRPr="00266CE2">
        <w:rPr>
          <w:sz w:val="26"/>
          <w:szCs w:val="26"/>
          <w:lang w:val="vi-VN"/>
        </w:rPr>
        <w:t xml:space="preserve"> và </w:t>
      </w:r>
      <w:r w:rsidRPr="00266CE2">
        <w:rPr>
          <w:i/>
          <w:sz w:val="26"/>
          <w:szCs w:val="26"/>
          <w:lang w:val="vi-VN"/>
        </w:rPr>
        <w:t>thực hiện chính sách đất đai ở cơ sở</w:t>
      </w:r>
      <w:r w:rsidRPr="00266CE2">
        <w:rPr>
          <w:sz w:val="26"/>
          <w:szCs w:val="26"/>
          <w:lang w:val="vi-VN"/>
        </w:rPr>
        <w:t>:</w:t>
      </w:r>
    </w:p>
    <w:p w:rsidR="005B1350" w:rsidRPr="00266CE2" w:rsidRDefault="005B1350" w:rsidP="00054651">
      <w:pPr>
        <w:pStyle w:val="BodyText"/>
        <w:jc w:val="both"/>
        <w:rPr>
          <w:sz w:val="26"/>
          <w:szCs w:val="26"/>
          <w:lang w:val="vi-VN"/>
        </w:rPr>
      </w:pPr>
    </w:p>
    <w:p w:rsidR="005B1350" w:rsidRPr="00266CE2" w:rsidRDefault="005B1350" w:rsidP="00054651">
      <w:pPr>
        <w:pStyle w:val="BodyText"/>
        <w:numPr>
          <w:ilvl w:val="0"/>
          <w:numId w:val="8"/>
        </w:numPr>
        <w:ind w:left="284" w:hanging="284"/>
        <w:jc w:val="both"/>
        <w:rPr>
          <w:sz w:val="26"/>
          <w:szCs w:val="26"/>
          <w:lang w:val="vi-VN"/>
        </w:rPr>
      </w:pPr>
      <w:r w:rsidRPr="00266CE2">
        <w:rPr>
          <w:sz w:val="26"/>
          <w:szCs w:val="26"/>
          <w:lang w:val="vi-VN"/>
        </w:rPr>
        <w:t>Hơn hai phần ba số người được hỏi (khoảng 73,3%) cho rằng những sự hạn chế về thông tin về quy hoạch sử dụng đất đã làm ảnh hưởng đến quyết định chuyển nhượng đất của họ; điều này cũng liên quan đến việc thực hiện các dịch vụ đăng ký đất đai. Những ý kiến liên quan lặp lại khá thường xuyên, với khoảng 32,35% số ý kiến;</w:t>
      </w:r>
    </w:p>
    <w:p w:rsidR="005B1350" w:rsidRPr="00266CE2" w:rsidRDefault="005B1350" w:rsidP="00054651">
      <w:pPr>
        <w:pStyle w:val="BodyText"/>
        <w:numPr>
          <w:ilvl w:val="0"/>
          <w:numId w:val="8"/>
        </w:numPr>
        <w:spacing w:before="120"/>
        <w:ind w:left="284" w:hanging="284"/>
        <w:jc w:val="both"/>
        <w:rPr>
          <w:sz w:val="26"/>
          <w:szCs w:val="26"/>
          <w:lang w:val="vi-VN"/>
        </w:rPr>
      </w:pPr>
      <w:r w:rsidRPr="00266CE2">
        <w:rPr>
          <w:sz w:val="26"/>
          <w:szCs w:val="26"/>
          <w:lang w:val="vi-VN"/>
        </w:rPr>
        <w:t xml:space="preserve">Lệ phí, phí và thuế liên quan đến đất đai là mối quan tâm lớn của những người dân tại khu vực nông thôn. Tất cả các ý kiến cho biết các khoản phí, lệ phí và thuế liên quan này vẫn cao và trở thành những rào cản lớn nhất – 57%. Trái lại, 19% người dân thành thị và 18% người dân ở khu vực bán thành thị có cùng quan điểm này. Điều </w:t>
      </w:r>
      <w:r w:rsidRPr="00266CE2">
        <w:rPr>
          <w:sz w:val="26"/>
          <w:szCs w:val="26"/>
          <w:lang w:val="vi-VN"/>
        </w:rPr>
        <w:lastRenderedPageBreak/>
        <w:t>này tạo lên giá trị trung bình khoảng 26,5% tổng số người tham dự tại 3 cuộc thảo luận nhóm;</w:t>
      </w:r>
    </w:p>
    <w:p w:rsidR="005B1350" w:rsidRPr="00266CE2" w:rsidRDefault="005B1350" w:rsidP="00054651">
      <w:pPr>
        <w:pStyle w:val="BodyText"/>
        <w:numPr>
          <w:ilvl w:val="0"/>
          <w:numId w:val="8"/>
        </w:numPr>
        <w:spacing w:before="120"/>
        <w:ind w:left="284" w:hanging="284"/>
        <w:jc w:val="both"/>
        <w:rPr>
          <w:sz w:val="26"/>
          <w:szCs w:val="26"/>
          <w:lang w:val="vi-VN"/>
        </w:rPr>
      </w:pPr>
      <w:r w:rsidRPr="00266CE2">
        <w:rPr>
          <w:sz w:val="26"/>
          <w:szCs w:val="26"/>
          <w:lang w:val="vi-VN"/>
        </w:rPr>
        <w:t>Một phần ba số ý kiến trả lời đề cập đến sự khó khăn trong việc tiếp cận thông tin giá đất khi thực hiện các giao dịch đất đai liên quan, bao gồm bán, mua và thế chấp quyền sử dụng đất. Những người này cho rằng hạn chế này là rào cản lớn nhất để họ bán và mua đất với giá tốt nhất. Những ý kiến này lặp lại khoảng 14,71% tổng số ý kiến;</w:t>
      </w:r>
    </w:p>
    <w:p w:rsidR="005B1350" w:rsidRPr="00266CE2" w:rsidRDefault="005B1350" w:rsidP="00054651">
      <w:pPr>
        <w:pStyle w:val="BodyText"/>
        <w:numPr>
          <w:ilvl w:val="0"/>
          <w:numId w:val="8"/>
        </w:numPr>
        <w:spacing w:before="120"/>
        <w:ind w:left="284" w:hanging="284"/>
        <w:jc w:val="both"/>
        <w:rPr>
          <w:sz w:val="26"/>
          <w:szCs w:val="26"/>
          <w:lang w:val="vi-VN"/>
        </w:rPr>
      </w:pPr>
      <w:r w:rsidRPr="00266CE2">
        <w:rPr>
          <w:sz w:val="26"/>
          <w:szCs w:val="26"/>
          <w:lang w:val="vi-VN"/>
        </w:rPr>
        <w:t>Có một sự đồng đều khi đánh giá về rào cản liên quan đến thủ tục hành chính về đất đai tại các cuộc thảo luận nhóm. Trung bình, có 17,65% số câu trả lời cho thấy các vấn đề hành chính đã trở thành những lý do lớn nhất khiến người dân không thực hiện đăng ký đất đai. Tỷ lệ giữa ba cuộc thảo luận là không khác nhau nhiều, dao động trong khoảng 17-20% số ý kiến. Điều này có phần trái ngược với kết quả khảo sát bảng hỏi, với tỷ lệ xấp xỉ 33%;</w:t>
      </w:r>
    </w:p>
    <w:p w:rsidR="005B1350" w:rsidRPr="00266CE2" w:rsidRDefault="005B1350" w:rsidP="00054651">
      <w:pPr>
        <w:pStyle w:val="BodyText"/>
        <w:numPr>
          <w:ilvl w:val="0"/>
          <w:numId w:val="8"/>
        </w:numPr>
        <w:spacing w:before="120"/>
        <w:ind w:left="284" w:hanging="284"/>
        <w:jc w:val="both"/>
        <w:rPr>
          <w:sz w:val="26"/>
          <w:szCs w:val="26"/>
          <w:lang w:val="vi-VN"/>
        </w:rPr>
      </w:pPr>
      <w:r w:rsidRPr="00266CE2">
        <w:rPr>
          <w:sz w:val="26"/>
          <w:szCs w:val="26"/>
          <w:lang w:val="vi-VN"/>
        </w:rPr>
        <w:t>Tại cuộc thảo luận nhóm, dù chỉ có duy nhất một người được hỏi nhắc đến đề cập đến chuyện mất thời gian khi thực hiện các thủ tục đăng ký đất đai là rào cản lớn; một số ý kiến khác cũng đồng tình rằng dịch vụ đăng ký đất đai đã tiêu tốn nhiều thời gian hơn quy định được phổ biến, đặc biệt là trong việc xin cấp GCNQSDĐ;</w:t>
      </w:r>
    </w:p>
    <w:p w:rsidR="005B1350" w:rsidRPr="00266CE2" w:rsidRDefault="005B1350" w:rsidP="00054651">
      <w:pPr>
        <w:pStyle w:val="BodyText"/>
        <w:numPr>
          <w:ilvl w:val="0"/>
          <w:numId w:val="8"/>
        </w:numPr>
        <w:spacing w:before="120"/>
        <w:ind w:left="284" w:hanging="284"/>
        <w:jc w:val="both"/>
        <w:rPr>
          <w:sz w:val="26"/>
          <w:szCs w:val="26"/>
          <w:lang w:val="vi-VN"/>
        </w:rPr>
      </w:pPr>
      <w:r w:rsidRPr="00266CE2">
        <w:rPr>
          <w:sz w:val="26"/>
          <w:szCs w:val="26"/>
          <w:lang w:val="vi-VN"/>
        </w:rPr>
        <w:t>Quan sát thực tế qua các buổi thảo luận nhóm cho thấy có những hạn chế trong việc phổ biến thông tin quy hoạch sử dụng đất khi những người được phỏng vấn cho biết họ phải liên hệ trực tiếp hoặc gián tiếp với cán bộ địa chính để tiếp cận thông tin quy hoạch sử dụng đất khi cần.</w:t>
      </w:r>
    </w:p>
    <w:p w:rsidR="005B1350" w:rsidRPr="00266CE2" w:rsidRDefault="005B1350" w:rsidP="00054651">
      <w:pPr>
        <w:pStyle w:val="BodyText"/>
        <w:jc w:val="both"/>
        <w:rPr>
          <w:i/>
          <w:sz w:val="26"/>
          <w:szCs w:val="26"/>
          <w:lang w:val="vi-VN"/>
        </w:rPr>
      </w:pPr>
    </w:p>
    <w:p w:rsidR="005B1350" w:rsidRPr="00266CE2" w:rsidRDefault="005B1350" w:rsidP="00054651">
      <w:pPr>
        <w:pStyle w:val="BodyText"/>
        <w:jc w:val="both"/>
        <w:rPr>
          <w:i/>
          <w:sz w:val="26"/>
          <w:szCs w:val="26"/>
          <w:lang w:val="vi-VN"/>
        </w:rPr>
      </w:pPr>
      <w:r w:rsidRPr="00266CE2">
        <w:rPr>
          <w:i/>
          <w:sz w:val="26"/>
          <w:szCs w:val="26"/>
          <w:lang w:val="vi-VN"/>
        </w:rPr>
        <w:t>Chuyển nhượng đất đai không đăng ký:</w:t>
      </w:r>
    </w:p>
    <w:p w:rsidR="005B1350" w:rsidRPr="00266CE2" w:rsidRDefault="005B1350" w:rsidP="00054651">
      <w:pPr>
        <w:pStyle w:val="BodyText"/>
        <w:jc w:val="both"/>
        <w:rPr>
          <w:sz w:val="26"/>
          <w:szCs w:val="26"/>
          <w:lang w:val="vi-VN"/>
        </w:rPr>
      </w:pPr>
    </w:p>
    <w:p w:rsidR="005B1350" w:rsidRPr="00266CE2" w:rsidRDefault="005B1350" w:rsidP="00054651">
      <w:pPr>
        <w:pStyle w:val="BodyText"/>
        <w:jc w:val="both"/>
        <w:rPr>
          <w:sz w:val="26"/>
          <w:szCs w:val="26"/>
          <w:lang w:val="vi-VN"/>
        </w:rPr>
      </w:pPr>
      <w:r w:rsidRPr="00266CE2">
        <w:rPr>
          <w:sz w:val="26"/>
          <w:szCs w:val="26"/>
          <w:lang w:val="vi-VN"/>
        </w:rPr>
        <w:t>Khoảng 12% số người được hỏi đã thừa nhận rằng họ đã từng thực hiện mua bán đất đai không qua đăng ký. Có nhiều lý do cho việc làm này, từ vấn đề tài chính, hành chính, thời gian, và tình trạng pháp lý.</w:t>
      </w:r>
    </w:p>
    <w:p w:rsidR="005B1350" w:rsidRDefault="005B1350" w:rsidP="00054651">
      <w:pPr>
        <w:pStyle w:val="BodyText"/>
        <w:jc w:val="both"/>
        <w:rPr>
          <w:lang w:val="vi-VN"/>
        </w:rPr>
      </w:pPr>
    </w:p>
    <w:p w:rsidR="005B1350" w:rsidRDefault="005B1350" w:rsidP="00054651">
      <w:pPr>
        <w:pStyle w:val="BodyText"/>
        <w:jc w:val="center"/>
        <w:rPr>
          <w:lang w:val="vi-VN"/>
        </w:rPr>
      </w:pPr>
      <w:r>
        <w:rPr>
          <w:noProof/>
          <w:lang w:val="vi-VN" w:eastAsia="vi-VN"/>
        </w:rPr>
        <w:drawing>
          <wp:inline distT="0" distB="0" distL="0" distR="0" wp14:anchorId="79201AB7" wp14:editId="285185E6">
            <wp:extent cx="4991100" cy="2319337"/>
            <wp:effectExtent l="0" t="0" r="0" b="50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B1350" w:rsidRDefault="005B1350" w:rsidP="00054651">
      <w:pPr>
        <w:pStyle w:val="BodyText"/>
        <w:jc w:val="center"/>
        <w:rPr>
          <w:b/>
          <w:sz w:val="22"/>
          <w:lang w:val="vi-VN"/>
        </w:rPr>
      </w:pPr>
      <w:r w:rsidRPr="002E7EF5">
        <w:rPr>
          <w:b/>
          <w:sz w:val="22"/>
          <w:lang w:val="vi-VN"/>
        </w:rPr>
        <w:t xml:space="preserve">Hình </w:t>
      </w:r>
      <w:r w:rsidR="00455CCB" w:rsidRPr="00455CCB">
        <w:rPr>
          <w:b/>
          <w:sz w:val="22"/>
          <w:lang w:val="vi-VN"/>
        </w:rPr>
        <w:t>1</w:t>
      </w:r>
      <w:r w:rsidRPr="002E7EF5">
        <w:rPr>
          <w:b/>
          <w:sz w:val="22"/>
          <w:lang w:val="vi-VN"/>
        </w:rPr>
        <w:t xml:space="preserve">: </w:t>
      </w:r>
      <w:r w:rsidRPr="00C763B6">
        <w:rPr>
          <w:b/>
          <w:sz w:val="22"/>
          <w:lang w:val="vi-VN"/>
        </w:rPr>
        <w:t>Lý do thực hiện ch</w:t>
      </w:r>
      <w:r>
        <w:rPr>
          <w:b/>
          <w:sz w:val="22"/>
          <w:lang w:val="vi-VN"/>
        </w:rPr>
        <w:t>uyển nhượng đất đai không đăng ký</w:t>
      </w:r>
    </w:p>
    <w:p w:rsidR="005B1350" w:rsidRDefault="005B1350" w:rsidP="00054651">
      <w:pPr>
        <w:pStyle w:val="HTMLPreformatted"/>
        <w:shd w:val="clear" w:color="auto" w:fill="FFFFFF"/>
        <w:rPr>
          <w:rFonts w:ascii="inherit" w:hAnsi="inherit"/>
          <w:color w:val="212121"/>
        </w:rPr>
      </w:pPr>
    </w:p>
    <w:p w:rsidR="005B1350" w:rsidRPr="00266CE2" w:rsidRDefault="005B1350" w:rsidP="00054651">
      <w:pPr>
        <w:pStyle w:val="BodyText"/>
        <w:jc w:val="both"/>
        <w:rPr>
          <w:sz w:val="26"/>
          <w:szCs w:val="26"/>
          <w:lang w:val="vi-VN"/>
        </w:rPr>
      </w:pPr>
      <w:r w:rsidRPr="00266CE2">
        <w:rPr>
          <w:sz w:val="26"/>
          <w:szCs w:val="26"/>
          <w:lang w:val="vi-VN"/>
        </w:rPr>
        <w:t xml:space="preserve">Trong số những người thừa nhận họ đã thực hiện chuyển nhượng đất đai không đăng ký (mua hoặc bán), 60% cho rằng thủ tục hành chính phức tạp là lý do chính. Tình trạng pháp lý là lý do cho 20% số người tuân thủ. Điều này là cũng dễ hiểu bởi theo Luật Đất đai, người sử dụng đất không thể chuyển nhượng đất mà không có GCNQSDĐ </w:t>
      </w:r>
      <w:r w:rsidRPr="00266CE2">
        <w:rPr>
          <w:noProof/>
          <w:sz w:val="26"/>
          <w:szCs w:val="26"/>
          <w:lang w:val="vi-VN"/>
        </w:rPr>
        <w:t>(Quốc hội Việt Nam, 2013b)</w:t>
      </w:r>
      <w:r w:rsidRPr="00266CE2">
        <w:rPr>
          <w:sz w:val="26"/>
          <w:szCs w:val="26"/>
          <w:lang w:val="vi-VN"/>
        </w:rPr>
        <w:t xml:space="preserve">. Ngược lại, thời gian không phải là vấn đề đối với người dân vì chỉ 7% số người được hỏi cho rằng đây là một lý do (Hình </w:t>
      </w:r>
      <w:r w:rsidR="00455CCB" w:rsidRPr="00455CCB">
        <w:rPr>
          <w:sz w:val="26"/>
          <w:szCs w:val="26"/>
          <w:lang w:val="vi-VN"/>
        </w:rPr>
        <w:t>1</w:t>
      </w:r>
      <w:r w:rsidRPr="00266CE2">
        <w:rPr>
          <w:sz w:val="26"/>
          <w:szCs w:val="26"/>
          <w:lang w:val="vi-VN"/>
        </w:rPr>
        <w:t xml:space="preserve">). Việc quan sát và thảo luận </w:t>
      </w:r>
      <w:r w:rsidRPr="00266CE2">
        <w:rPr>
          <w:sz w:val="26"/>
          <w:szCs w:val="26"/>
          <w:lang w:val="vi-VN"/>
        </w:rPr>
        <w:lastRenderedPageBreak/>
        <w:t>tại các cuộc thảo luận nhóm cho thấy quan điểm của người dân ở cơ sở nếu người sử dụng đất sử dụng đất trong một khoảng thời gian dài, đặc biệt để phục vụ sản phẩm nông nghiệp ở những khu vực nông thôn, không có các dự án quy hoạch mới, họ không thực sự cần phải có GCNQSDĐ.</w:t>
      </w:r>
    </w:p>
    <w:p w:rsidR="005B1350" w:rsidRPr="00266CE2" w:rsidRDefault="005B1350" w:rsidP="00054651">
      <w:pPr>
        <w:pStyle w:val="BodyText"/>
        <w:jc w:val="both"/>
        <w:rPr>
          <w:sz w:val="26"/>
          <w:szCs w:val="26"/>
          <w:lang w:val="vi-VN"/>
        </w:rPr>
      </w:pPr>
    </w:p>
    <w:p w:rsidR="005B1350" w:rsidRPr="00266CE2" w:rsidRDefault="005B1350" w:rsidP="00054651">
      <w:pPr>
        <w:pStyle w:val="BodyText"/>
        <w:jc w:val="both"/>
        <w:rPr>
          <w:sz w:val="26"/>
          <w:szCs w:val="26"/>
          <w:lang w:val="vi-VN"/>
        </w:rPr>
      </w:pPr>
      <w:r w:rsidRPr="00266CE2">
        <w:rPr>
          <w:sz w:val="26"/>
          <w:szCs w:val="26"/>
          <w:lang w:val="vi-VN"/>
        </w:rPr>
        <w:t>Bên cạnh đó, cá nhân và hộ gia đình được yêu cầu đánh giá sự hỗ trợ của chính quyền địa phương khi tham gia thực hiện các dịch vụ đăng ký như: chuyển đổi, chuyển nhượng, thừa kế, thế chấp, cho thuê/cho thuê lại và góp vốn bằng giá trị quyền sử dụng đất, đồng thời là hai hoạt động phổ biến có liên quan gồm đăng ký cấp GCNQSDĐ và chia tách thửa.</w:t>
      </w:r>
    </w:p>
    <w:p w:rsidR="005B1350" w:rsidRPr="00266CE2" w:rsidRDefault="005B1350" w:rsidP="00054651">
      <w:pPr>
        <w:pStyle w:val="BodyText"/>
        <w:jc w:val="both"/>
        <w:rPr>
          <w:sz w:val="26"/>
          <w:szCs w:val="26"/>
          <w:lang w:val="vi-VN"/>
        </w:rPr>
      </w:pPr>
    </w:p>
    <w:p w:rsidR="005B1350" w:rsidRPr="00266CE2" w:rsidRDefault="005B1350" w:rsidP="00054651">
      <w:pPr>
        <w:pStyle w:val="BodyText"/>
        <w:jc w:val="both"/>
        <w:rPr>
          <w:sz w:val="26"/>
          <w:szCs w:val="26"/>
          <w:lang w:val="vi-VN"/>
        </w:rPr>
      </w:pPr>
      <w:r w:rsidRPr="00266CE2">
        <w:rPr>
          <w:sz w:val="26"/>
          <w:szCs w:val="26"/>
          <w:lang w:val="vi-VN"/>
        </w:rPr>
        <w:t xml:space="preserve">Biểu đồ trong Hình </w:t>
      </w:r>
      <w:r w:rsidR="00455CCB" w:rsidRPr="00455CCB">
        <w:rPr>
          <w:sz w:val="26"/>
          <w:szCs w:val="26"/>
          <w:lang w:val="vi-VN"/>
        </w:rPr>
        <w:t>2</w:t>
      </w:r>
      <w:r w:rsidRPr="00266CE2">
        <w:rPr>
          <w:sz w:val="26"/>
          <w:szCs w:val="26"/>
          <w:lang w:val="vi-VN"/>
        </w:rPr>
        <w:t xml:space="preserve"> so sánh về đánh giá sự hài lòng của người sử dụng đất với sự hỗ trợ của chính quyền và cán bộ địa phương trong thực hiện dịch vụ đất đai. Trung bình, 55% số người được hỏi hài lòng với dịch vụ và hoạt động quản lý đất đai ở địa phương. Người dân đánh giá cao sự hỗ trợ của cán bộ địa phương khi xin cấp GCNQSDĐ cũng như việc tách nhập thửa đất. Đánh giá cho hai hoạt động nêu trên ở mức 74% và 66% chấp nhận được. Hoạt động đăng ký cấp GCNQSDĐ nhằm tạo cơ sở pháp lý ban đầu để thực hiện các quyền khác theo các dịch vụ liên quan đến đất đai xảy ra thường xuyên tại cả ba khu vực; việc chia tách thửa đất xảy ra thường xuyên hơn ở khu vực nông thôn và bán đô thị do sự mở rộng của các hộ gia đình và quá trình đô thị hóa.</w:t>
      </w:r>
    </w:p>
    <w:p w:rsidR="005B1350" w:rsidRPr="00266CE2" w:rsidRDefault="005B1350" w:rsidP="00054651">
      <w:pPr>
        <w:pStyle w:val="BodyText"/>
        <w:jc w:val="both"/>
        <w:rPr>
          <w:sz w:val="26"/>
          <w:szCs w:val="26"/>
          <w:lang w:val="vi-VN"/>
        </w:rPr>
      </w:pPr>
    </w:p>
    <w:p w:rsidR="005B1350" w:rsidRDefault="005B1350" w:rsidP="00054651">
      <w:pPr>
        <w:jc w:val="center"/>
        <w:rPr>
          <w:rFonts w:ascii="Cambria" w:hAnsi="Cambria"/>
          <w:sz w:val="24"/>
          <w:szCs w:val="24"/>
        </w:rPr>
      </w:pPr>
      <w:r>
        <w:rPr>
          <w:noProof/>
          <w:lang w:val="vi-VN" w:eastAsia="vi-VN"/>
        </w:rPr>
        <w:drawing>
          <wp:inline distT="0" distB="0" distL="0" distR="0" wp14:anchorId="42A25ED3" wp14:editId="50F8D10D">
            <wp:extent cx="6019800" cy="33432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B1350" w:rsidRPr="00BC3DA9" w:rsidRDefault="005B1350" w:rsidP="00054651">
      <w:pPr>
        <w:pStyle w:val="BodyText"/>
        <w:jc w:val="center"/>
        <w:rPr>
          <w:b/>
          <w:sz w:val="22"/>
        </w:rPr>
      </w:pPr>
      <w:r w:rsidRPr="00BC3DA9">
        <w:rPr>
          <w:b/>
          <w:sz w:val="22"/>
        </w:rPr>
        <w:t xml:space="preserve">Hình </w:t>
      </w:r>
      <w:r w:rsidR="00455CCB">
        <w:rPr>
          <w:b/>
          <w:sz w:val="22"/>
        </w:rPr>
        <w:t>2</w:t>
      </w:r>
      <w:r w:rsidRPr="00BC3DA9">
        <w:rPr>
          <w:b/>
          <w:sz w:val="22"/>
        </w:rPr>
        <w:t>: Đánh giá sự hỗ trợ của chính quyền và cán bộ địa phương</w:t>
      </w:r>
    </w:p>
    <w:p w:rsidR="005B1350" w:rsidRDefault="005B1350" w:rsidP="00054651">
      <w:pPr>
        <w:pStyle w:val="BodyText"/>
        <w:jc w:val="both"/>
        <w:rPr>
          <w:sz w:val="26"/>
          <w:szCs w:val="26"/>
          <w:lang w:val="vi-VN"/>
        </w:rPr>
      </w:pPr>
      <w:r>
        <w:br/>
      </w:r>
      <w:r w:rsidRPr="00266CE2">
        <w:rPr>
          <w:sz w:val="26"/>
          <w:szCs w:val="26"/>
          <w:lang w:val="vi-VN"/>
        </w:rPr>
        <w:t xml:space="preserve">Chi tiết, kết quả này có thể được phân thành ba nhóm. Các dịch vụ và hoạt động phổ biến nhất bao gồm thừa kế quyền sử dụng đất (63% hài lòng), phân chia thửa đất (66%) và xin cấp GCNQSDĐ đã nhận được sự hỗ trợ đáng kể của chính quyền và nhân viên địa phương (74%). Các dịch vụ ít phổ biến hơn, bao gồm chuyển nhượng, trao đổi và thế chấp quyền sử dụng đất đã nhận được sự hỗ trợ đáng kể của các cơ quan chính quyền địa phương như các văn phòng đăng ký đất đai, cán bộ địa chính và các định chế tài chính cũng như các trưởng thôn, từ 52% đến 56% . Dịch vụ liên quan đến các thủ tục ít phổ biến nhất, bao gồm bảo lãnh, góp vốn bằng quyền sử dụng đất và cho thuê/cho thuê </w:t>
      </w:r>
      <w:r w:rsidRPr="00266CE2">
        <w:rPr>
          <w:sz w:val="26"/>
          <w:szCs w:val="26"/>
          <w:lang w:val="vi-VN"/>
        </w:rPr>
        <w:lastRenderedPageBreak/>
        <w:t>lại quyền sử dụng đất, nhận được sự hỗ trợ thấp nhất của các cơ quan chính phủ, với khoảng 30% đến 40% số người được hỏi hài lòng.</w:t>
      </w:r>
    </w:p>
    <w:p w:rsidR="005B1350" w:rsidRDefault="005B1350" w:rsidP="00054651">
      <w:pPr>
        <w:pStyle w:val="BodyText"/>
        <w:jc w:val="both"/>
        <w:rPr>
          <w:sz w:val="26"/>
          <w:szCs w:val="26"/>
        </w:rPr>
      </w:pPr>
    </w:p>
    <w:p w:rsidR="005B1350" w:rsidRPr="00BC3DA9" w:rsidRDefault="005B1350" w:rsidP="00054651">
      <w:pPr>
        <w:pStyle w:val="BodyText"/>
        <w:jc w:val="both"/>
        <w:rPr>
          <w:b/>
          <w:sz w:val="22"/>
        </w:rPr>
      </w:pPr>
      <w:r w:rsidRPr="00BC3DA9">
        <w:rPr>
          <w:b/>
          <w:sz w:val="22"/>
        </w:rPr>
        <w:t>Bàng 5: Đánh giá sự hỗ trợ của chính quyền và cán bộ địa chính ở cấp cơ sở</w:t>
      </w:r>
      <w:r w:rsidR="0086091E">
        <w:rPr>
          <w:b/>
          <w:sz w:val="22"/>
        </w:rPr>
        <w:t xml:space="preserve"> tại các khu vực</w:t>
      </w:r>
    </w:p>
    <w:tbl>
      <w:tblPr>
        <w:tblW w:w="9067" w:type="dxa"/>
        <w:jc w:val="center"/>
        <w:tblBorders>
          <w:top w:val="single" w:sz="4" w:space="0" w:color="auto"/>
          <w:bottom w:val="single" w:sz="4" w:space="0" w:color="auto"/>
        </w:tblBorders>
        <w:tblLayout w:type="fixed"/>
        <w:tblLook w:val="04A0" w:firstRow="1" w:lastRow="0" w:firstColumn="1" w:lastColumn="0" w:noHBand="0" w:noVBand="1"/>
      </w:tblPr>
      <w:tblGrid>
        <w:gridCol w:w="3682"/>
        <w:gridCol w:w="1133"/>
        <w:gridCol w:w="1564"/>
        <w:gridCol w:w="1271"/>
        <w:gridCol w:w="1417"/>
      </w:tblGrid>
      <w:tr w:rsidR="005B1350" w:rsidRPr="00B81639" w:rsidTr="0086091E">
        <w:trPr>
          <w:trHeight w:val="139"/>
          <w:tblHeader/>
          <w:jc w:val="center"/>
        </w:trPr>
        <w:tc>
          <w:tcPr>
            <w:tcW w:w="3682" w:type="dxa"/>
            <w:tcBorders>
              <w:top w:val="single" w:sz="4" w:space="0" w:color="auto"/>
              <w:bottom w:val="single" w:sz="4" w:space="0" w:color="auto"/>
            </w:tcBorders>
            <w:shd w:val="clear" w:color="auto" w:fill="auto"/>
            <w:noWrap/>
            <w:vAlign w:val="center"/>
            <w:hideMark/>
          </w:tcPr>
          <w:p w:rsidR="005B1350" w:rsidRPr="00E433AB" w:rsidRDefault="0086091E" w:rsidP="00054651">
            <w:pPr>
              <w:spacing w:before="100" w:beforeAutospacing="1" w:after="100" w:afterAutospacing="1"/>
              <w:contextualSpacing/>
              <w:jc w:val="center"/>
              <w:rPr>
                <w:b/>
                <w:color w:val="000000"/>
                <w:sz w:val="21"/>
                <w:szCs w:val="21"/>
                <w:lang w:eastAsia="en-AU"/>
              </w:rPr>
            </w:pPr>
            <w:r w:rsidRPr="00E433AB">
              <w:rPr>
                <w:b/>
                <w:color w:val="000000"/>
                <w:sz w:val="21"/>
                <w:szCs w:val="21"/>
                <w:lang w:eastAsia="en-AU"/>
              </w:rPr>
              <w:t>Dịch vụ và hoạt động liên quan</w:t>
            </w:r>
          </w:p>
        </w:tc>
        <w:tc>
          <w:tcPr>
            <w:tcW w:w="1133" w:type="dxa"/>
            <w:tcBorders>
              <w:top w:val="single" w:sz="4" w:space="0" w:color="auto"/>
              <w:bottom w:val="single" w:sz="4" w:space="0" w:color="auto"/>
            </w:tcBorders>
            <w:shd w:val="clear" w:color="auto" w:fill="auto"/>
            <w:noWrap/>
            <w:vAlign w:val="center"/>
            <w:hideMark/>
          </w:tcPr>
          <w:p w:rsidR="005B1350" w:rsidRPr="0086091E" w:rsidRDefault="005B1350" w:rsidP="00054651">
            <w:pPr>
              <w:spacing w:before="100" w:beforeAutospacing="1" w:after="100" w:afterAutospacing="1"/>
              <w:contextualSpacing/>
              <w:jc w:val="center"/>
              <w:rPr>
                <w:b/>
                <w:color w:val="000000"/>
                <w:sz w:val="21"/>
                <w:szCs w:val="21"/>
                <w:lang w:eastAsia="en-AU"/>
              </w:rPr>
            </w:pPr>
            <w:r w:rsidRPr="0086091E">
              <w:rPr>
                <w:b/>
                <w:color w:val="000000"/>
                <w:sz w:val="21"/>
                <w:szCs w:val="21"/>
                <w:lang w:eastAsia="en-AU"/>
              </w:rPr>
              <w:t>Thành thị</w:t>
            </w:r>
          </w:p>
        </w:tc>
        <w:tc>
          <w:tcPr>
            <w:tcW w:w="1564" w:type="dxa"/>
            <w:tcBorders>
              <w:top w:val="single" w:sz="4" w:space="0" w:color="auto"/>
              <w:bottom w:val="single" w:sz="4" w:space="0" w:color="auto"/>
            </w:tcBorders>
            <w:shd w:val="clear" w:color="auto" w:fill="auto"/>
            <w:noWrap/>
            <w:vAlign w:val="center"/>
            <w:hideMark/>
          </w:tcPr>
          <w:p w:rsidR="005B1350" w:rsidRPr="0086091E" w:rsidRDefault="005B1350" w:rsidP="00054651">
            <w:pPr>
              <w:spacing w:before="100" w:beforeAutospacing="1" w:after="100" w:afterAutospacing="1"/>
              <w:contextualSpacing/>
              <w:jc w:val="center"/>
              <w:rPr>
                <w:b/>
                <w:color w:val="000000"/>
                <w:sz w:val="21"/>
                <w:szCs w:val="21"/>
                <w:lang w:eastAsia="en-AU"/>
              </w:rPr>
            </w:pPr>
            <w:r w:rsidRPr="0086091E">
              <w:rPr>
                <w:b/>
                <w:color w:val="000000"/>
                <w:sz w:val="21"/>
                <w:szCs w:val="21"/>
                <w:lang w:eastAsia="en-AU"/>
              </w:rPr>
              <w:t>Bán thành thị</w:t>
            </w:r>
          </w:p>
        </w:tc>
        <w:tc>
          <w:tcPr>
            <w:tcW w:w="1271" w:type="dxa"/>
            <w:tcBorders>
              <w:top w:val="single" w:sz="4" w:space="0" w:color="auto"/>
              <w:bottom w:val="single" w:sz="4" w:space="0" w:color="auto"/>
            </w:tcBorders>
            <w:shd w:val="clear" w:color="auto" w:fill="auto"/>
            <w:noWrap/>
            <w:vAlign w:val="center"/>
            <w:hideMark/>
          </w:tcPr>
          <w:p w:rsidR="005B1350" w:rsidRPr="0086091E" w:rsidRDefault="005B1350" w:rsidP="00054651">
            <w:pPr>
              <w:spacing w:before="100" w:beforeAutospacing="1" w:after="100" w:afterAutospacing="1"/>
              <w:contextualSpacing/>
              <w:jc w:val="center"/>
              <w:rPr>
                <w:b/>
                <w:color w:val="000000"/>
                <w:sz w:val="21"/>
                <w:szCs w:val="21"/>
                <w:lang w:eastAsia="en-AU"/>
              </w:rPr>
            </w:pPr>
            <w:r w:rsidRPr="0086091E">
              <w:rPr>
                <w:b/>
                <w:color w:val="000000"/>
                <w:sz w:val="21"/>
                <w:szCs w:val="21"/>
                <w:lang w:eastAsia="en-AU"/>
              </w:rPr>
              <w:t>Nông thôn</w:t>
            </w:r>
          </w:p>
        </w:tc>
        <w:tc>
          <w:tcPr>
            <w:tcW w:w="1417" w:type="dxa"/>
            <w:tcBorders>
              <w:top w:val="single" w:sz="4" w:space="0" w:color="auto"/>
              <w:bottom w:val="single" w:sz="4" w:space="0" w:color="auto"/>
            </w:tcBorders>
            <w:vAlign w:val="center"/>
          </w:tcPr>
          <w:p w:rsidR="005B1350" w:rsidRPr="0086091E" w:rsidRDefault="005B1350" w:rsidP="00054651">
            <w:pPr>
              <w:spacing w:before="100" w:beforeAutospacing="1" w:after="100" w:afterAutospacing="1"/>
              <w:contextualSpacing/>
              <w:jc w:val="center"/>
              <w:rPr>
                <w:b/>
                <w:color w:val="000000"/>
                <w:sz w:val="21"/>
                <w:szCs w:val="21"/>
                <w:lang w:eastAsia="en-AU"/>
              </w:rPr>
            </w:pPr>
            <w:r w:rsidRPr="0086091E">
              <w:rPr>
                <w:b/>
                <w:color w:val="000000"/>
                <w:sz w:val="21"/>
                <w:szCs w:val="21"/>
                <w:lang w:eastAsia="en-AU"/>
              </w:rPr>
              <w:t>Trung bình</w:t>
            </w:r>
          </w:p>
        </w:tc>
      </w:tr>
      <w:tr w:rsidR="005B1350" w:rsidRPr="00B81639" w:rsidTr="0086091E">
        <w:trPr>
          <w:trHeight w:val="291"/>
          <w:jc w:val="center"/>
        </w:trPr>
        <w:tc>
          <w:tcPr>
            <w:tcW w:w="3682" w:type="dxa"/>
            <w:tcBorders>
              <w:top w:val="single" w:sz="4" w:space="0" w:color="auto"/>
            </w:tcBorders>
            <w:shd w:val="clear" w:color="auto" w:fill="auto"/>
            <w:noWrap/>
            <w:vAlign w:val="center"/>
            <w:hideMark/>
          </w:tcPr>
          <w:p w:rsidR="005B1350" w:rsidRPr="00B81639" w:rsidRDefault="005B1350" w:rsidP="0086091E">
            <w:pPr>
              <w:spacing w:before="100" w:beforeAutospacing="1" w:after="100" w:afterAutospacing="1"/>
              <w:contextualSpacing/>
              <w:jc w:val="right"/>
              <w:rPr>
                <w:color w:val="000000"/>
                <w:sz w:val="21"/>
                <w:szCs w:val="21"/>
                <w:lang w:eastAsia="en-AU"/>
              </w:rPr>
            </w:pPr>
            <w:r>
              <w:rPr>
                <w:color w:val="000000"/>
                <w:sz w:val="21"/>
                <w:szCs w:val="21"/>
                <w:lang w:eastAsia="en-AU"/>
              </w:rPr>
              <w:t>Đăng ký cấp GCNQSDĐ</w:t>
            </w:r>
          </w:p>
        </w:tc>
        <w:tc>
          <w:tcPr>
            <w:tcW w:w="1133" w:type="dxa"/>
            <w:tcBorders>
              <w:top w:val="single" w:sz="4" w:space="0" w:color="auto"/>
            </w:tcBorders>
            <w:shd w:val="clear" w:color="auto" w:fill="auto"/>
            <w:noWrap/>
            <w:vAlign w:val="center"/>
            <w:hideMark/>
          </w:tcPr>
          <w:p w:rsidR="005B1350" w:rsidRPr="00B81639" w:rsidRDefault="005B1350" w:rsidP="00054651">
            <w:pPr>
              <w:spacing w:before="100" w:beforeAutospacing="1" w:after="100" w:afterAutospacing="1"/>
              <w:contextualSpacing/>
              <w:jc w:val="center"/>
              <w:rPr>
                <w:color w:val="000000"/>
                <w:sz w:val="21"/>
                <w:szCs w:val="21"/>
                <w:lang w:eastAsia="en-AU"/>
              </w:rPr>
            </w:pPr>
            <w:r w:rsidRPr="00B81639">
              <w:rPr>
                <w:color w:val="000000"/>
                <w:sz w:val="21"/>
                <w:szCs w:val="21"/>
                <w:lang w:eastAsia="en-AU"/>
              </w:rPr>
              <w:t>3.00</w:t>
            </w:r>
            <w:r w:rsidR="0086091E">
              <w:rPr>
                <w:rStyle w:val="FootnoteReference"/>
                <w:color w:val="000000"/>
                <w:sz w:val="21"/>
                <w:szCs w:val="21"/>
                <w:lang w:eastAsia="en-AU"/>
              </w:rPr>
              <w:footnoteReference w:id="3"/>
            </w:r>
          </w:p>
        </w:tc>
        <w:tc>
          <w:tcPr>
            <w:tcW w:w="1564" w:type="dxa"/>
            <w:tcBorders>
              <w:top w:val="single" w:sz="4" w:space="0" w:color="auto"/>
            </w:tcBorders>
            <w:shd w:val="clear" w:color="auto" w:fill="auto"/>
            <w:noWrap/>
            <w:vAlign w:val="center"/>
            <w:hideMark/>
          </w:tcPr>
          <w:p w:rsidR="005B1350" w:rsidRPr="00B81639" w:rsidRDefault="005B1350" w:rsidP="00054651">
            <w:pPr>
              <w:spacing w:before="100" w:beforeAutospacing="1" w:after="100" w:afterAutospacing="1"/>
              <w:contextualSpacing/>
              <w:jc w:val="center"/>
              <w:rPr>
                <w:color w:val="000000"/>
                <w:sz w:val="21"/>
                <w:szCs w:val="21"/>
                <w:lang w:eastAsia="en-AU"/>
              </w:rPr>
            </w:pPr>
            <w:r w:rsidRPr="00B81639">
              <w:rPr>
                <w:color w:val="000000"/>
                <w:sz w:val="21"/>
                <w:szCs w:val="21"/>
                <w:lang w:eastAsia="en-AU"/>
              </w:rPr>
              <w:t>3.57</w:t>
            </w:r>
          </w:p>
        </w:tc>
        <w:tc>
          <w:tcPr>
            <w:tcW w:w="1271" w:type="dxa"/>
            <w:tcBorders>
              <w:top w:val="single" w:sz="4" w:space="0" w:color="auto"/>
            </w:tcBorders>
            <w:shd w:val="clear" w:color="auto" w:fill="auto"/>
            <w:noWrap/>
            <w:vAlign w:val="center"/>
            <w:hideMark/>
          </w:tcPr>
          <w:p w:rsidR="005B1350" w:rsidRPr="00B81639" w:rsidRDefault="005B1350" w:rsidP="00054651">
            <w:pPr>
              <w:spacing w:before="100" w:beforeAutospacing="1" w:after="100" w:afterAutospacing="1"/>
              <w:contextualSpacing/>
              <w:jc w:val="center"/>
              <w:rPr>
                <w:color w:val="000000"/>
                <w:sz w:val="21"/>
                <w:szCs w:val="21"/>
                <w:lang w:eastAsia="en-AU"/>
              </w:rPr>
            </w:pPr>
            <w:r w:rsidRPr="00B81639">
              <w:rPr>
                <w:color w:val="000000"/>
                <w:sz w:val="21"/>
                <w:szCs w:val="21"/>
                <w:lang w:eastAsia="en-AU"/>
              </w:rPr>
              <w:t>2.72</w:t>
            </w:r>
          </w:p>
        </w:tc>
        <w:tc>
          <w:tcPr>
            <w:tcW w:w="1417" w:type="dxa"/>
            <w:tcBorders>
              <w:top w:val="single" w:sz="4" w:space="0" w:color="auto"/>
            </w:tcBorders>
            <w:vAlign w:val="center"/>
          </w:tcPr>
          <w:p w:rsidR="005B1350" w:rsidRPr="00B81639" w:rsidRDefault="005B1350" w:rsidP="00054651">
            <w:pPr>
              <w:spacing w:before="100" w:beforeAutospacing="1" w:after="100" w:afterAutospacing="1"/>
              <w:contextualSpacing/>
              <w:jc w:val="center"/>
              <w:rPr>
                <w:color w:val="000000"/>
                <w:sz w:val="21"/>
                <w:szCs w:val="21"/>
                <w:lang w:eastAsia="en-AU"/>
              </w:rPr>
            </w:pPr>
            <w:r w:rsidRPr="00B81639">
              <w:rPr>
                <w:color w:val="000000"/>
                <w:sz w:val="21"/>
                <w:szCs w:val="21"/>
                <w:lang w:eastAsia="en-AU"/>
              </w:rPr>
              <w:t>3.07</w:t>
            </w:r>
          </w:p>
        </w:tc>
      </w:tr>
      <w:tr w:rsidR="005B1350" w:rsidRPr="00B81639" w:rsidTr="0086091E">
        <w:trPr>
          <w:trHeight w:val="291"/>
          <w:jc w:val="center"/>
        </w:trPr>
        <w:tc>
          <w:tcPr>
            <w:tcW w:w="3682" w:type="dxa"/>
            <w:shd w:val="clear" w:color="auto" w:fill="auto"/>
            <w:noWrap/>
            <w:vAlign w:val="center"/>
            <w:hideMark/>
          </w:tcPr>
          <w:p w:rsidR="005B1350" w:rsidRPr="00B81639" w:rsidRDefault="005B1350" w:rsidP="0086091E">
            <w:pPr>
              <w:spacing w:before="100" w:beforeAutospacing="1" w:after="100" w:afterAutospacing="1"/>
              <w:contextualSpacing/>
              <w:jc w:val="right"/>
              <w:rPr>
                <w:color w:val="000000"/>
                <w:sz w:val="21"/>
                <w:szCs w:val="21"/>
                <w:lang w:eastAsia="en-AU"/>
              </w:rPr>
            </w:pPr>
            <w:r>
              <w:rPr>
                <w:color w:val="000000"/>
                <w:sz w:val="21"/>
                <w:szCs w:val="21"/>
                <w:lang w:eastAsia="en-AU"/>
              </w:rPr>
              <w:t>Chi tách thửa đất</w:t>
            </w:r>
          </w:p>
        </w:tc>
        <w:tc>
          <w:tcPr>
            <w:tcW w:w="1133" w:type="dxa"/>
            <w:shd w:val="clear" w:color="auto" w:fill="auto"/>
            <w:noWrap/>
            <w:vAlign w:val="center"/>
            <w:hideMark/>
          </w:tcPr>
          <w:p w:rsidR="005B1350" w:rsidRPr="00B81639" w:rsidRDefault="005B1350" w:rsidP="00054651">
            <w:pPr>
              <w:spacing w:before="100" w:beforeAutospacing="1" w:after="100" w:afterAutospacing="1"/>
              <w:contextualSpacing/>
              <w:jc w:val="center"/>
              <w:rPr>
                <w:color w:val="000000"/>
                <w:sz w:val="21"/>
                <w:szCs w:val="21"/>
                <w:lang w:eastAsia="en-AU"/>
              </w:rPr>
            </w:pPr>
            <w:r w:rsidRPr="00B81639">
              <w:rPr>
                <w:color w:val="000000"/>
                <w:sz w:val="21"/>
                <w:szCs w:val="21"/>
                <w:lang w:eastAsia="en-AU"/>
              </w:rPr>
              <w:t>2.58</w:t>
            </w:r>
          </w:p>
        </w:tc>
        <w:tc>
          <w:tcPr>
            <w:tcW w:w="1564" w:type="dxa"/>
            <w:shd w:val="clear" w:color="auto" w:fill="auto"/>
            <w:noWrap/>
            <w:vAlign w:val="center"/>
            <w:hideMark/>
          </w:tcPr>
          <w:p w:rsidR="005B1350" w:rsidRPr="00B81639" w:rsidRDefault="005B1350" w:rsidP="00054651">
            <w:pPr>
              <w:spacing w:before="100" w:beforeAutospacing="1" w:after="100" w:afterAutospacing="1"/>
              <w:contextualSpacing/>
              <w:jc w:val="center"/>
              <w:rPr>
                <w:color w:val="000000"/>
                <w:sz w:val="21"/>
                <w:szCs w:val="21"/>
                <w:lang w:eastAsia="en-AU"/>
              </w:rPr>
            </w:pPr>
            <w:r w:rsidRPr="00B81639">
              <w:rPr>
                <w:color w:val="000000"/>
                <w:sz w:val="21"/>
                <w:szCs w:val="21"/>
                <w:lang w:eastAsia="en-AU"/>
              </w:rPr>
              <w:t>3.33</w:t>
            </w:r>
          </w:p>
        </w:tc>
        <w:tc>
          <w:tcPr>
            <w:tcW w:w="1271" w:type="dxa"/>
            <w:shd w:val="clear" w:color="auto" w:fill="auto"/>
            <w:noWrap/>
            <w:vAlign w:val="center"/>
            <w:hideMark/>
          </w:tcPr>
          <w:p w:rsidR="005B1350" w:rsidRPr="00B81639" w:rsidRDefault="005B1350" w:rsidP="00054651">
            <w:pPr>
              <w:spacing w:before="100" w:beforeAutospacing="1" w:after="100" w:afterAutospacing="1"/>
              <w:contextualSpacing/>
              <w:jc w:val="center"/>
              <w:rPr>
                <w:color w:val="000000"/>
                <w:sz w:val="21"/>
                <w:szCs w:val="21"/>
                <w:lang w:eastAsia="en-AU"/>
              </w:rPr>
            </w:pPr>
            <w:r w:rsidRPr="00B81639">
              <w:rPr>
                <w:color w:val="000000"/>
                <w:sz w:val="21"/>
                <w:szCs w:val="21"/>
                <w:lang w:eastAsia="en-AU"/>
              </w:rPr>
              <w:t>3.19</w:t>
            </w:r>
          </w:p>
        </w:tc>
        <w:tc>
          <w:tcPr>
            <w:tcW w:w="1417" w:type="dxa"/>
            <w:vAlign w:val="center"/>
          </w:tcPr>
          <w:p w:rsidR="005B1350" w:rsidRPr="00B81639" w:rsidRDefault="005B1350" w:rsidP="00054651">
            <w:pPr>
              <w:spacing w:before="100" w:beforeAutospacing="1" w:after="100" w:afterAutospacing="1"/>
              <w:contextualSpacing/>
              <w:jc w:val="center"/>
              <w:rPr>
                <w:color w:val="000000"/>
                <w:sz w:val="21"/>
                <w:szCs w:val="21"/>
                <w:lang w:eastAsia="en-AU"/>
              </w:rPr>
            </w:pPr>
            <w:r w:rsidRPr="00B81639">
              <w:rPr>
                <w:color w:val="000000"/>
                <w:sz w:val="21"/>
                <w:szCs w:val="21"/>
                <w:lang w:eastAsia="en-AU"/>
              </w:rPr>
              <w:t>2.93</w:t>
            </w:r>
          </w:p>
        </w:tc>
      </w:tr>
      <w:tr w:rsidR="005B1350" w:rsidRPr="00B81639" w:rsidTr="0086091E">
        <w:trPr>
          <w:trHeight w:val="291"/>
          <w:jc w:val="center"/>
        </w:trPr>
        <w:tc>
          <w:tcPr>
            <w:tcW w:w="3682" w:type="dxa"/>
            <w:shd w:val="clear" w:color="auto" w:fill="auto"/>
            <w:noWrap/>
            <w:vAlign w:val="center"/>
            <w:hideMark/>
          </w:tcPr>
          <w:p w:rsidR="005B1350" w:rsidRPr="00B81639" w:rsidRDefault="005B1350" w:rsidP="0086091E">
            <w:pPr>
              <w:spacing w:before="100" w:beforeAutospacing="1" w:after="100" w:afterAutospacing="1"/>
              <w:contextualSpacing/>
              <w:jc w:val="right"/>
              <w:rPr>
                <w:color w:val="000000"/>
                <w:sz w:val="21"/>
                <w:szCs w:val="21"/>
                <w:lang w:eastAsia="en-AU"/>
              </w:rPr>
            </w:pPr>
            <w:r>
              <w:rPr>
                <w:color w:val="000000"/>
                <w:sz w:val="21"/>
                <w:szCs w:val="21"/>
                <w:lang w:eastAsia="en-AU"/>
              </w:rPr>
              <w:t>Thừa kế quyền sử dụng đất</w:t>
            </w:r>
          </w:p>
        </w:tc>
        <w:tc>
          <w:tcPr>
            <w:tcW w:w="1133" w:type="dxa"/>
            <w:shd w:val="clear" w:color="auto" w:fill="auto"/>
            <w:noWrap/>
            <w:vAlign w:val="center"/>
            <w:hideMark/>
          </w:tcPr>
          <w:p w:rsidR="005B1350" w:rsidRPr="00B81639" w:rsidRDefault="005B1350" w:rsidP="00054651">
            <w:pPr>
              <w:spacing w:before="100" w:beforeAutospacing="1" w:after="100" w:afterAutospacing="1"/>
              <w:contextualSpacing/>
              <w:jc w:val="center"/>
              <w:rPr>
                <w:color w:val="000000"/>
                <w:sz w:val="21"/>
                <w:szCs w:val="21"/>
                <w:lang w:eastAsia="en-AU"/>
              </w:rPr>
            </w:pPr>
            <w:r w:rsidRPr="00B81639">
              <w:rPr>
                <w:color w:val="000000"/>
                <w:sz w:val="21"/>
                <w:szCs w:val="21"/>
                <w:lang w:eastAsia="en-AU"/>
              </w:rPr>
              <w:t>2.48</w:t>
            </w:r>
          </w:p>
        </w:tc>
        <w:tc>
          <w:tcPr>
            <w:tcW w:w="1564" w:type="dxa"/>
            <w:shd w:val="clear" w:color="auto" w:fill="auto"/>
            <w:noWrap/>
            <w:vAlign w:val="center"/>
            <w:hideMark/>
          </w:tcPr>
          <w:p w:rsidR="005B1350" w:rsidRPr="00B81639" w:rsidRDefault="005B1350" w:rsidP="00054651">
            <w:pPr>
              <w:spacing w:before="100" w:beforeAutospacing="1" w:after="100" w:afterAutospacing="1"/>
              <w:contextualSpacing/>
              <w:jc w:val="center"/>
              <w:rPr>
                <w:color w:val="000000"/>
                <w:sz w:val="21"/>
                <w:szCs w:val="21"/>
                <w:lang w:eastAsia="en-AU"/>
              </w:rPr>
            </w:pPr>
            <w:r w:rsidRPr="00B81639">
              <w:rPr>
                <w:color w:val="000000"/>
                <w:sz w:val="21"/>
                <w:szCs w:val="21"/>
                <w:lang w:eastAsia="en-AU"/>
              </w:rPr>
              <w:t>3.53</w:t>
            </w:r>
          </w:p>
        </w:tc>
        <w:tc>
          <w:tcPr>
            <w:tcW w:w="1271" w:type="dxa"/>
            <w:shd w:val="clear" w:color="auto" w:fill="auto"/>
            <w:noWrap/>
            <w:vAlign w:val="center"/>
            <w:hideMark/>
          </w:tcPr>
          <w:p w:rsidR="005B1350" w:rsidRPr="00B81639" w:rsidRDefault="005B1350" w:rsidP="00054651">
            <w:pPr>
              <w:spacing w:before="100" w:beforeAutospacing="1" w:after="100" w:afterAutospacing="1"/>
              <w:contextualSpacing/>
              <w:jc w:val="center"/>
              <w:rPr>
                <w:color w:val="000000"/>
                <w:sz w:val="21"/>
                <w:szCs w:val="21"/>
                <w:lang w:eastAsia="en-AU"/>
              </w:rPr>
            </w:pPr>
            <w:r w:rsidRPr="00B81639">
              <w:rPr>
                <w:color w:val="000000"/>
                <w:sz w:val="21"/>
                <w:szCs w:val="21"/>
                <w:lang w:eastAsia="en-AU"/>
              </w:rPr>
              <w:t>3.22</w:t>
            </w:r>
          </w:p>
        </w:tc>
        <w:tc>
          <w:tcPr>
            <w:tcW w:w="1417" w:type="dxa"/>
            <w:vAlign w:val="center"/>
          </w:tcPr>
          <w:p w:rsidR="005B1350" w:rsidRPr="00B81639" w:rsidRDefault="005B1350" w:rsidP="00054651">
            <w:pPr>
              <w:spacing w:before="100" w:beforeAutospacing="1" w:after="100" w:afterAutospacing="1"/>
              <w:contextualSpacing/>
              <w:jc w:val="center"/>
              <w:rPr>
                <w:color w:val="000000"/>
                <w:sz w:val="21"/>
                <w:szCs w:val="21"/>
                <w:lang w:eastAsia="en-AU"/>
              </w:rPr>
            </w:pPr>
            <w:r w:rsidRPr="00B81639">
              <w:rPr>
                <w:color w:val="000000"/>
                <w:sz w:val="21"/>
                <w:szCs w:val="21"/>
                <w:lang w:eastAsia="en-AU"/>
              </w:rPr>
              <w:t>2.93</w:t>
            </w:r>
          </w:p>
        </w:tc>
      </w:tr>
      <w:tr w:rsidR="005B1350" w:rsidRPr="00B81639" w:rsidTr="0086091E">
        <w:trPr>
          <w:trHeight w:val="291"/>
          <w:jc w:val="center"/>
        </w:trPr>
        <w:tc>
          <w:tcPr>
            <w:tcW w:w="3682" w:type="dxa"/>
            <w:shd w:val="clear" w:color="auto" w:fill="auto"/>
            <w:noWrap/>
            <w:vAlign w:val="center"/>
            <w:hideMark/>
          </w:tcPr>
          <w:p w:rsidR="005B1350" w:rsidRPr="00B81639" w:rsidRDefault="005B1350" w:rsidP="0086091E">
            <w:pPr>
              <w:spacing w:before="100" w:beforeAutospacing="1" w:after="100" w:afterAutospacing="1"/>
              <w:contextualSpacing/>
              <w:jc w:val="right"/>
              <w:rPr>
                <w:color w:val="000000"/>
                <w:sz w:val="21"/>
                <w:szCs w:val="21"/>
                <w:lang w:eastAsia="en-AU"/>
              </w:rPr>
            </w:pPr>
            <w:r>
              <w:rPr>
                <w:color w:val="000000"/>
                <w:sz w:val="21"/>
                <w:szCs w:val="21"/>
                <w:lang w:eastAsia="en-AU"/>
              </w:rPr>
              <w:t>Chuyển đồi quyền sử dụng đất</w:t>
            </w:r>
          </w:p>
        </w:tc>
        <w:tc>
          <w:tcPr>
            <w:tcW w:w="1133" w:type="dxa"/>
            <w:shd w:val="clear" w:color="auto" w:fill="auto"/>
            <w:noWrap/>
            <w:vAlign w:val="center"/>
            <w:hideMark/>
          </w:tcPr>
          <w:p w:rsidR="005B1350" w:rsidRPr="00B81639" w:rsidRDefault="005B1350" w:rsidP="00054651">
            <w:pPr>
              <w:spacing w:before="100" w:beforeAutospacing="1" w:after="100" w:afterAutospacing="1"/>
              <w:contextualSpacing/>
              <w:jc w:val="center"/>
              <w:rPr>
                <w:color w:val="000000"/>
                <w:sz w:val="21"/>
                <w:szCs w:val="21"/>
                <w:lang w:eastAsia="en-AU"/>
              </w:rPr>
            </w:pPr>
            <w:r w:rsidRPr="00B81639">
              <w:rPr>
                <w:color w:val="000000"/>
                <w:sz w:val="21"/>
                <w:szCs w:val="21"/>
                <w:lang w:eastAsia="en-AU"/>
              </w:rPr>
              <w:t>2.55</w:t>
            </w:r>
          </w:p>
        </w:tc>
        <w:tc>
          <w:tcPr>
            <w:tcW w:w="1564" w:type="dxa"/>
            <w:shd w:val="clear" w:color="auto" w:fill="auto"/>
            <w:noWrap/>
            <w:vAlign w:val="center"/>
            <w:hideMark/>
          </w:tcPr>
          <w:p w:rsidR="005B1350" w:rsidRPr="00B81639" w:rsidRDefault="005B1350" w:rsidP="00054651">
            <w:pPr>
              <w:spacing w:before="100" w:beforeAutospacing="1" w:after="100" w:afterAutospacing="1"/>
              <w:contextualSpacing/>
              <w:jc w:val="center"/>
              <w:rPr>
                <w:color w:val="000000"/>
                <w:sz w:val="21"/>
                <w:szCs w:val="21"/>
                <w:lang w:eastAsia="en-AU"/>
              </w:rPr>
            </w:pPr>
            <w:r w:rsidRPr="00B81639">
              <w:rPr>
                <w:color w:val="000000"/>
                <w:sz w:val="21"/>
                <w:szCs w:val="21"/>
                <w:lang w:eastAsia="en-AU"/>
              </w:rPr>
              <w:t>2.97</w:t>
            </w:r>
          </w:p>
        </w:tc>
        <w:tc>
          <w:tcPr>
            <w:tcW w:w="1271" w:type="dxa"/>
            <w:shd w:val="clear" w:color="auto" w:fill="auto"/>
            <w:noWrap/>
            <w:vAlign w:val="center"/>
            <w:hideMark/>
          </w:tcPr>
          <w:p w:rsidR="005B1350" w:rsidRPr="00B81639" w:rsidRDefault="005B1350" w:rsidP="00054651">
            <w:pPr>
              <w:spacing w:before="100" w:beforeAutospacing="1" w:after="100" w:afterAutospacing="1"/>
              <w:contextualSpacing/>
              <w:jc w:val="center"/>
              <w:rPr>
                <w:color w:val="000000"/>
                <w:sz w:val="21"/>
                <w:szCs w:val="21"/>
                <w:lang w:eastAsia="en-AU"/>
              </w:rPr>
            </w:pPr>
            <w:r w:rsidRPr="00B81639">
              <w:rPr>
                <w:color w:val="000000"/>
                <w:sz w:val="21"/>
                <w:szCs w:val="21"/>
                <w:lang w:eastAsia="en-AU"/>
              </w:rPr>
              <w:t>2.84</w:t>
            </w:r>
          </w:p>
        </w:tc>
        <w:tc>
          <w:tcPr>
            <w:tcW w:w="1417" w:type="dxa"/>
            <w:vAlign w:val="center"/>
          </w:tcPr>
          <w:p w:rsidR="005B1350" w:rsidRPr="00B81639" w:rsidRDefault="005B1350" w:rsidP="00054651">
            <w:pPr>
              <w:spacing w:before="100" w:beforeAutospacing="1" w:after="100" w:afterAutospacing="1"/>
              <w:contextualSpacing/>
              <w:jc w:val="center"/>
              <w:rPr>
                <w:color w:val="000000"/>
                <w:sz w:val="21"/>
                <w:szCs w:val="21"/>
                <w:lang w:eastAsia="en-AU"/>
              </w:rPr>
            </w:pPr>
            <w:r w:rsidRPr="00B81639">
              <w:rPr>
                <w:color w:val="000000"/>
                <w:sz w:val="21"/>
                <w:szCs w:val="21"/>
                <w:lang w:eastAsia="en-AU"/>
              </w:rPr>
              <w:t>2.73</w:t>
            </w:r>
          </w:p>
        </w:tc>
      </w:tr>
      <w:tr w:rsidR="005B1350" w:rsidRPr="00B81639" w:rsidTr="0086091E">
        <w:trPr>
          <w:trHeight w:val="291"/>
          <w:jc w:val="center"/>
        </w:trPr>
        <w:tc>
          <w:tcPr>
            <w:tcW w:w="3682" w:type="dxa"/>
            <w:shd w:val="clear" w:color="auto" w:fill="auto"/>
            <w:noWrap/>
            <w:vAlign w:val="center"/>
            <w:hideMark/>
          </w:tcPr>
          <w:p w:rsidR="005B1350" w:rsidRPr="00B81639" w:rsidRDefault="005B1350" w:rsidP="0086091E">
            <w:pPr>
              <w:spacing w:before="100" w:beforeAutospacing="1" w:after="100" w:afterAutospacing="1"/>
              <w:contextualSpacing/>
              <w:jc w:val="right"/>
              <w:rPr>
                <w:color w:val="000000"/>
                <w:sz w:val="21"/>
                <w:szCs w:val="21"/>
                <w:lang w:eastAsia="en-AU"/>
              </w:rPr>
            </w:pPr>
            <w:r>
              <w:rPr>
                <w:color w:val="000000"/>
                <w:sz w:val="21"/>
                <w:szCs w:val="21"/>
                <w:lang w:eastAsia="en-AU"/>
              </w:rPr>
              <w:t>Thế chấp quyền sử dụng đất</w:t>
            </w:r>
          </w:p>
        </w:tc>
        <w:tc>
          <w:tcPr>
            <w:tcW w:w="1133" w:type="dxa"/>
            <w:shd w:val="clear" w:color="auto" w:fill="auto"/>
            <w:noWrap/>
            <w:vAlign w:val="center"/>
            <w:hideMark/>
          </w:tcPr>
          <w:p w:rsidR="005B1350" w:rsidRPr="00B81639" w:rsidRDefault="005B1350" w:rsidP="00054651">
            <w:pPr>
              <w:spacing w:before="100" w:beforeAutospacing="1" w:after="100" w:afterAutospacing="1"/>
              <w:contextualSpacing/>
              <w:jc w:val="center"/>
              <w:rPr>
                <w:color w:val="000000"/>
                <w:sz w:val="21"/>
                <w:szCs w:val="21"/>
                <w:lang w:eastAsia="en-AU"/>
              </w:rPr>
            </w:pPr>
            <w:r w:rsidRPr="00B81639">
              <w:rPr>
                <w:color w:val="000000"/>
                <w:sz w:val="21"/>
                <w:szCs w:val="21"/>
                <w:lang w:eastAsia="en-AU"/>
              </w:rPr>
              <w:t>2.45</w:t>
            </w:r>
          </w:p>
        </w:tc>
        <w:tc>
          <w:tcPr>
            <w:tcW w:w="1564" w:type="dxa"/>
            <w:shd w:val="clear" w:color="auto" w:fill="auto"/>
            <w:noWrap/>
            <w:vAlign w:val="center"/>
            <w:hideMark/>
          </w:tcPr>
          <w:p w:rsidR="005B1350" w:rsidRPr="00B81639" w:rsidRDefault="005B1350" w:rsidP="00054651">
            <w:pPr>
              <w:spacing w:before="100" w:beforeAutospacing="1" w:after="100" w:afterAutospacing="1"/>
              <w:contextualSpacing/>
              <w:jc w:val="center"/>
              <w:rPr>
                <w:color w:val="000000"/>
                <w:sz w:val="21"/>
                <w:szCs w:val="21"/>
                <w:lang w:eastAsia="en-AU"/>
              </w:rPr>
            </w:pPr>
            <w:r w:rsidRPr="00B81639">
              <w:rPr>
                <w:color w:val="000000"/>
                <w:sz w:val="21"/>
                <w:szCs w:val="21"/>
                <w:lang w:eastAsia="en-AU"/>
              </w:rPr>
              <w:t>3.33</w:t>
            </w:r>
          </w:p>
        </w:tc>
        <w:tc>
          <w:tcPr>
            <w:tcW w:w="1271" w:type="dxa"/>
            <w:shd w:val="clear" w:color="auto" w:fill="auto"/>
            <w:noWrap/>
            <w:vAlign w:val="center"/>
            <w:hideMark/>
          </w:tcPr>
          <w:p w:rsidR="005B1350" w:rsidRPr="00B81639" w:rsidRDefault="005B1350" w:rsidP="00054651">
            <w:pPr>
              <w:spacing w:before="100" w:beforeAutospacing="1" w:after="100" w:afterAutospacing="1"/>
              <w:contextualSpacing/>
              <w:jc w:val="center"/>
              <w:rPr>
                <w:color w:val="000000"/>
                <w:sz w:val="21"/>
                <w:szCs w:val="21"/>
                <w:lang w:eastAsia="en-AU"/>
              </w:rPr>
            </w:pPr>
            <w:r w:rsidRPr="00B81639">
              <w:rPr>
                <w:color w:val="000000"/>
                <w:sz w:val="21"/>
                <w:szCs w:val="21"/>
                <w:lang w:eastAsia="en-AU"/>
              </w:rPr>
              <w:t>2.69</w:t>
            </w:r>
          </w:p>
        </w:tc>
        <w:tc>
          <w:tcPr>
            <w:tcW w:w="1417" w:type="dxa"/>
            <w:vAlign w:val="center"/>
          </w:tcPr>
          <w:p w:rsidR="005B1350" w:rsidRPr="00B81639" w:rsidRDefault="005B1350" w:rsidP="00054651">
            <w:pPr>
              <w:spacing w:before="100" w:beforeAutospacing="1" w:after="100" w:afterAutospacing="1"/>
              <w:contextualSpacing/>
              <w:jc w:val="center"/>
              <w:rPr>
                <w:color w:val="000000"/>
                <w:sz w:val="21"/>
                <w:szCs w:val="21"/>
                <w:lang w:eastAsia="en-AU"/>
              </w:rPr>
            </w:pPr>
            <w:r w:rsidRPr="00B81639">
              <w:rPr>
                <w:color w:val="000000"/>
                <w:sz w:val="21"/>
                <w:szCs w:val="21"/>
                <w:lang w:eastAsia="en-AU"/>
              </w:rPr>
              <w:t>2.73</w:t>
            </w:r>
          </w:p>
        </w:tc>
      </w:tr>
      <w:tr w:rsidR="005B1350" w:rsidRPr="00B81639" w:rsidTr="0086091E">
        <w:trPr>
          <w:trHeight w:val="291"/>
          <w:jc w:val="center"/>
        </w:trPr>
        <w:tc>
          <w:tcPr>
            <w:tcW w:w="3682" w:type="dxa"/>
            <w:shd w:val="clear" w:color="auto" w:fill="auto"/>
            <w:noWrap/>
            <w:vAlign w:val="center"/>
            <w:hideMark/>
          </w:tcPr>
          <w:p w:rsidR="005B1350" w:rsidRPr="00B81639" w:rsidRDefault="005B1350" w:rsidP="0086091E">
            <w:pPr>
              <w:spacing w:before="100" w:beforeAutospacing="1" w:after="100" w:afterAutospacing="1"/>
              <w:contextualSpacing/>
              <w:jc w:val="right"/>
              <w:rPr>
                <w:color w:val="000000"/>
                <w:sz w:val="21"/>
                <w:szCs w:val="21"/>
                <w:lang w:eastAsia="en-AU"/>
              </w:rPr>
            </w:pPr>
            <w:r>
              <w:rPr>
                <w:color w:val="000000"/>
                <w:sz w:val="21"/>
                <w:szCs w:val="21"/>
                <w:lang w:eastAsia="en-AU"/>
              </w:rPr>
              <w:t>Chuyển nhượng quyền sử dụng đất</w:t>
            </w:r>
          </w:p>
        </w:tc>
        <w:tc>
          <w:tcPr>
            <w:tcW w:w="1133" w:type="dxa"/>
            <w:shd w:val="clear" w:color="auto" w:fill="auto"/>
            <w:noWrap/>
            <w:vAlign w:val="center"/>
            <w:hideMark/>
          </w:tcPr>
          <w:p w:rsidR="005B1350" w:rsidRPr="00B81639" w:rsidRDefault="005B1350" w:rsidP="00054651">
            <w:pPr>
              <w:spacing w:before="100" w:beforeAutospacing="1" w:after="100" w:afterAutospacing="1"/>
              <w:contextualSpacing/>
              <w:jc w:val="center"/>
              <w:rPr>
                <w:color w:val="000000"/>
                <w:sz w:val="21"/>
                <w:szCs w:val="21"/>
                <w:lang w:eastAsia="en-AU"/>
              </w:rPr>
            </w:pPr>
            <w:r w:rsidRPr="00B81639">
              <w:rPr>
                <w:color w:val="000000"/>
                <w:sz w:val="21"/>
                <w:szCs w:val="21"/>
                <w:lang w:eastAsia="en-AU"/>
              </w:rPr>
              <w:t>2.53</w:t>
            </w:r>
          </w:p>
        </w:tc>
        <w:tc>
          <w:tcPr>
            <w:tcW w:w="1564" w:type="dxa"/>
            <w:shd w:val="clear" w:color="auto" w:fill="auto"/>
            <w:noWrap/>
            <w:vAlign w:val="center"/>
            <w:hideMark/>
          </w:tcPr>
          <w:p w:rsidR="005B1350" w:rsidRPr="00B81639" w:rsidRDefault="005B1350" w:rsidP="00054651">
            <w:pPr>
              <w:spacing w:before="100" w:beforeAutospacing="1" w:after="100" w:afterAutospacing="1"/>
              <w:contextualSpacing/>
              <w:jc w:val="center"/>
              <w:rPr>
                <w:color w:val="000000"/>
                <w:sz w:val="21"/>
                <w:szCs w:val="21"/>
                <w:lang w:eastAsia="en-AU"/>
              </w:rPr>
            </w:pPr>
            <w:r w:rsidRPr="00B81639">
              <w:rPr>
                <w:color w:val="000000"/>
                <w:sz w:val="21"/>
                <w:szCs w:val="21"/>
                <w:lang w:eastAsia="en-AU"/>
              </w:rPr>
              <w:t>2.93</w:t>
            </w:r>
          </w:p>
        </w:tc>
        <w:tc>
          <w:tcPr>
            <w:tcW w:w="1271" w:type="dxa"/>
            <w:shd w:val="clear" w:color="auto" w:fill="auto"/>
            <w:noWrap/>
            <w:vAlign w:val="center"/>
            <w:hideMark/>
          </w:tcPr>
          <w:p w:rsidR="005B1350" w:rsidRPr="00B81639" w:rsidRDefault="005B1350" w:rsidP="00054651">
            <w:pPr>
              <w:spacing w:before="100" w:beforeAutospacing="1" w:after="100" w:afterAutospacing="1"/>
              <w:contextualSpacing/>
              <w:jc w:val="center"/>
              <w:rPr>
                <w:color w:val="000000"/>
                <w:sz w:val="21"/>
                <w:szCs w:val="21"/>
                <w:lang w:eastAsia="en-AU"/>
              </w:rPr>
            </w:pPr>
            <w:r w:rsidRPr="00B81639">
              <w:rPr>
                <w:color w:val="000000"/>
                <w:sz w:val="21"/>
                <w:szCs w:val="21"/>
                <w:lang w:eastAsia="en-AU"/>
              </w:rPr>
              <w:t>2.84</w:t>
            </w:r>
          </w:p>
        </w:tc>
        <w:tc>
          <w:tcPr>
            <w:tcW w:w="1417" w:type="dxa"/>
            <w:vAlign w:val="center"/>
          </w:tcPr>
          <w:p w:rsidR="005B1350" w:rsidRPr="00B81639" w:rsidRDefault="005B1350" w:rsidP="00054651">
            <w:pPr>
              <w:spacing w:before="100" w:beforeAutospacing="1" w:after="100" w:afterAutospacing="1"/>
              <w:contextualSpacing/>
              <w:jc w:val="center"/>
              <w:rPr>
                <w:color w:val="000000"/>
                <w:sz w:val="21"/>
                <w:szCs w:val="21"/>
                <w:lang w:eastAsia="en-AU"/>
              </w:rPr>
            </w:pPr>
            <w:r w:rsidRPr="00B81639">
              <w:rPr>
                <w:color w:val="000000"/>
                <w:sz w:val="21"/>
                <w:szCs w:val="21"/>
                <w:lang w:eastAsia="en-AU"/>
              </w:rPr>
              <w:t>2.71</w:t>
            </w:r>
          </w:p>
        </w:tc>
      </w:tr>
      <w:tr w:rsidR="005B1350" w:rsidRPr="00B81639" w:rsidTr="0086091E">
        <w:trPr>
          <w:trHeight w:val="291"/>
          <w:jc w:val="center"/>
        </w:trPr>
        <w:tc>
          <w:tcPr>
            <w:tcW w:w="3682" w:type="dxa"/>
            <w:shd w:val="clear" w:color="auto" w:fill="auto"/>
            <w:noWrap/>
            <w:vAlign w:val="center"/>
            <w:hideMark/>
          </w:tcPr>
          <w:p w:rsidR="005B1350" w:rsidRPr="00B81639" w:rsidRDefault="005B1350" w:rsidP="0086091E">
            <w:pPr>
              <w:spacing w:before="100" w:beforeAutospacing="1" w:after="100" w:afterAutospacing="1"/>
              <w:contextualSpacing/>
              <w:jc w:val="right"/>
              <w:rPr>
                <w:color w:val="000000"/>
                <w:sz w:val="21"/>
                <w:szCs w:val="21"/>
                <w:lang w:eastAsia="en-AU"/>
              </w:rPr>
            </w:pPr>
            <w:r>
              <w:rPr>
                <w:color w:val="000000"/>
                <w:sz w:val="21"/>
                <w:szCs w:val="21"/>
                <w:lang w:eastAsia="en-AU"/>
              </w:rPr>
              <w:t>Bảo lãnh bằng giá trị quyền sử dụng đất</w:t>
            </w:r>
          </w:p>
        </w:tc>
        <w:tc>
          <w:tcPr>
            <w:tcW w:w="1133" w:type="dxa"/>
            <w:shd w:val="clear" w:color="auto" w:fill="auto"/>
            <w:noWrap/>
            <w:vAlign w:val="center"/>
            <w:hideMark/>
          </w:tcPr>
          <w:p w:rsidR="005B1350" w:rsidRPr="00B81639" w:rsidRDefault="005B1350" w:rsidP="00054651">
            <w:pPr>
              <w:spacing w:before="100" w:beforeAutospacing="1" w:after="100" w:afterAutospacing="1"/>
              <w:contextualSpacing/>
              <w:jc w:val="center"/>
              <w:rPr>
                <w:color w:val="000000"/>
                <w:sz w:val="21"/>
                <w:szCs w:val="21"/>
                <w:lang w:eastAsia="en-AU"/>
              </w:rPr>
            </w:pPr>
            <w:r w:rsidRPr="00B81639">
              <w:rPr>
                <w:color w:val="000000"/>
                <w:sz w:val="21"/>
                <w:szCs w:val="21"/>
                <w:lang w:eastAsia="en-AU"/>
              </w:rPr>
              <w:t>2.20</w:t>
            </w:r>
          </w:p>
        </w:tc>
        <w:tc>
          <w:tcPr>
            <w:tcW w:w="1564" w:type="dxa"/>
            <w:shd w:val="clear" w:color="auto" w:fill="auto"/>
            <w:noWrap/>
            <w:vAlign w:val="center"/>
            <w:hideMark/>
          </w:tcPr>
          <w:p w:rsidR="005B1350" w:rsidRPr="00B81639" w:rsidRDefault="005B1350" w:rsidP="00054651">
            <w:pPr>
              <w:spacing w:before="100" w:beforeAutospacing="1" w:after="100" w:afterAutospacing="1"/>
              <w:contextualSpacing/>
              <w:jc w:val="center"/>
              <w:rPr>
                <w:color w:val="000000"/>
                <w:sz w:val="21"/>
                <w:szCs w:val="21"/>
                <w:lang w:eastAsia="en-AU"/>
              </w:rPr>
            </w:pPr>
            <w:r w:rsidRPr="00B81639">
              <w:rPr>
                <w:color w:val="000000"/>
                <w:sz w:val="21"/>
                <w:szCs w:val="21"/>
                <w:lang w:eastAsia="en-AU"/>
              </w:rPr>
              <w:t>2.70</w:t>
            </w:r>
          </w:p>
        </w:tc>
        <w:tc>
          <w:tcPr>
            <w:tcW w:w="1271" w:type="dxa"/>
            <w:shd w:val="clear" w:color="auto" w:fill="auto"/>
            <w:noWrap/>
            <w:vAlign w:val="center"/>
            <w:hideMark/>
          </w:tcPr>
          <w:p w:rsidR="005B1350" w:rsidRPr="00B81639" w:rsidRDefault="005B1350" w:rsidP="00054651">
            <w:pPr>
              <w:spacing w:before="100" w:beforeAutospacing="1" w:after="100" w:afterAutospacing="1"/>
              <w:contextualSpacing/>
              <w:jc w:val="center"/>
              <w:rPr>
                <w:color w:val="000000"/>
                <w:sz w:val="21"/>
                <w:szCs w:val="21"/>
                <w:lang w:eastAsia="en-AU"/>
              </w:rPr>
            </w:pPr>
            <w:r w:rsidRPr="00B81639">
              <w:rPr>
                <w:color w:val="000000"/>
                <w:sz w:val="21"/>
                <w:szCs w:val="21"/>
                <w:lang w:eastAsia="en-AU"/>
              </w:rPr>
              <w:t>2.91</w:t>
            </w:r>
          </w:p>
        </w:tc>
        <w:tc>
          <w:tcPr>
            <w:tcW w:w="1417" w:type="dxa"/>
            <w:vAlign w:val="center"/>
          </w:tcPr>
          <w:p w:rsidR="005B1350" w:rsidRPr="00B81639" w:rsidRDefault="005B1350" w:rsidP="00054651">
            <w:pPr>
              <w:spacing w:before="100" w:beforeAutospacing="1" w:after="100" w:afterAutospacing="1"/>
              <w:contextualSpacing/>
              <w:jc w:val="center"/>
              <w:rPr>
                <w:color w:val="000000"/>
                <w:sz w:val="21"/>
                <w:szCs w:val="21"/>
                <w:lang w:eastAsia="en-AU"/>
              </w:rPr>
            </w:pPr>
            <w:r w:rsidRPr="00B81639">
              <w:rPr>
                <w:color w:val="000000"/>
                <w:sz w:val="21"/>
                <w:szCs w:val="21"/>
                <w:lang w:eastAsia="en-AU"/>
              </w:rPr>
              <w:t>2.51</w:t>
            </w:r>
          </w:p>
        </w:tc>
      </w:tr>
      <w:tr w:rsidR="005B1350" w:rsidRPr="00B81639" w:rsidTr="0086091E">
        <w:trPr>
          <w:trHeight w:val="291"/>
          <w:jc w:val="center"/>
        </w:trPr>
        <w:tc>
          <w:tcPr>
            <w:tcW w:w="3682" w:type="dxa"/>
            <w:shd w:val="clear" w:color="auto" w:fill="auto"/>
            <w:noWrap/>
            <w:vAlign w:val="center"/>
            <w:hideMark/>
          </w:tcPr>
          <w:p w:rsidR="005B1350" w:rsidRPr="00B81639" w:rsidRDefault="005B1350" w:rsidP="00054651">
            <w:pPr>
              <w:spacing w:before="100" w:beforeAutospacing="1" w:after="100" w:afterAutospacing="1"/>
              <w:contextualSpacing/>
              <w:rPr>
                <w:color w:val="000000"/>
                <w:sz w:val="21"/>
                <w:szCs w:val="21"/>
                <w:lang w:eastAsia="en-AU"/>
              </w:rPr>
            </w:pPr>
            <w:r>
              <w:rPr>
                <w:color w:val="000000"/>
                <w:sz w:val="21"/>
                <w:szCs w:val="21"/>
                <w:lang w:eastAsia="en-AU"/>
              </w:rPr>
              <w:t>Cho thuê/cho thuê lại quyền sử dụng đất</w:t>
            </w:r>
          </w:p>
        </w:tc>
        <w:tc>
          <w:tcPr>
            <w:tcW w:w="1133" w:type="dxa"/>
            <w:shd w:val="clear" w:color="auto" w:fill="auto"/>
            <w:noWrap/>
            <w:vAlign w:val="center"/>
            <w:hideMark/>
          </w:tcPr>
          <w:p w:rsidR="005B1350" w:rsidRPr="00B81639" w:rsidRDefault="005B1350" w:rsidP="00054651">
            <w:pPr>
              <w:spacing w:before="100" w:beforeAutospacing="1" w:after="100" w:afterAutospacing="1"/>
              <w:contextualSpacing/>
              <w:jc w:val="center"/>
              <w:rPr>
                <w:color w:val="000000"/>
                <w:sz w:val="21"/>
                <w:szCs w:val="21"/>
                <w:lang w:eastAsia="en-AU"/>
              </w:rPr>
            </w:pPr>
            <w:r w:rsidRPr="00B81639">
              <w:rPr>
                <w:color w:val="000000"/>
                <w:sz w:val="21"/>
                <w:szCs w:val="21"/>
                <w:lang w:eastAsia="en-AU"/>
              </w:rPr>
              <w:t>2.32</w:t>
            </w:r>
          </w:p>
        </w:tc>
        <w:tc>
          <w:tcPr>
            <w:tcW w:w="1564" w:type="dxa"/>
            <w:shd w:val="clear" w:color="auto" w:fill="auto"/>
            <w:noWrap/>
            <w:vAlign w:val="center"/>
            <w:hideMark/>
          </w:tcPr>
          <w:p w:rsidR="005B1350" w:rsidRPr="00B81639" w:rsidRDefault="005B1350" w:rsidP="00054651">
            <w:pPr>
              <w:spacing w:before="100" w:beforeAutospacing="1" w:after="100" w:afterAutospacing="1"/>
              <w:contextualSpacing/>
              <w:jc w:val="center"/>
              <w:rPr>
                <w:color w:val="000000"/>
                <w:sz w:val="21"/>
                <w:szCs w:val="21"/>
                <w:lang w:eastAsia="en-AU"/>
              </w:rPr>
            </w:pPr>
            <w:r w:rsidRPr="00B81639">
              <w:rPr>
                <w:color w:val="000000"/>
                <w:sz w:val="21"/>
                <w:szCs w:val="21"/>
                <w:lang w:eastAsia="en-AU"/>
              </w:rPr>
              <w:t>2.37</w:t>
            </w:r>
          </w:p>
        </w:tc>
        <w:tc>
          <w:tcPr>
            <w:tcW w:w="1271" w:type="dxa"/>
            <w:shd w:val="clear" w:color="auto" w:fill="auto"/>
            <w:noWrap/>
            <w:vAlign w:val="center"/>
            <w:hideMark/>
          </w:tcPr>
          <w:p w:rsidR="005B1350" w:rsidRPr="00B81639" w:rsidRDefault="005B1350" w:rsidP="00054651">
            <w:pPr>
              <w:spacing w:before="100" w:beforeAutospacing="1" w:after="100" w:afterAutospacing="1"/>
              <w:contextualSpacing/>
              <w:jc w:val="center"/>
              <w:rPr>
                <w:color w:val="000000"/>
                <w:sz w:val="21"/>
                <w:szCs w:val="21"/>
                <w:lang w:eastAsia="en-AU"/>
              </w:rPr>
            </w:pPr>
            <w:r w:rsidRPr="00B81639">
              <w:rPr>
                <w:color w:val="000000"/>
                <w:sz w:val="21"/>
                <w:szCs w:val="21"/>
                <w:lang w:eastAsia="en-AU"/>
              </w:rPr>
              <w:t>2.72</w:t>
            </w:r>
          </w:p>
        </w:tc>
        <w:tc>
          <w:tcPr>
            <w:tcW w:w="1417" w:type="dxa"/>
            <w:vAlign w:val="center"/>
          </w:tcPr>
          <w:p w:rsidR="005B1350" w:rsidRPr="00B81639" w:rsidRDefault="005B1350" w:rsidP="00054651">
            <w:pPr>
              <w:spacing w:before="100" w:beforeAutospacing="1" w:after="100" w:afterAutospacing="1"/>
              <w:contextualSpacing/>
              <w:jc w:val="center"/>
              <w:rPr>
                <w:color w:val="000000"/>
                <w:sz w:val="21"/>
                <w:szCs w:val="21"/>
                <w:lang w:eastAsia="en-AU"/>
              </w:rPr>
            </w:pPr>
            <w:r w:rsidRPr="00B81639">
              <w:rPr>
                <w:color w:val="000000"/>
                <w:sz w:val="21"/>
                <w:szCs w:val="21"/>
                <w:lang w:eastAsia="en-AU"/>
              </w:rPr>
              <w:t>2.43</w:t>
            </w:r>
          </w:p>
        </w:tc>
      </w:tr>
    </w:tbl>
    <w:p w:rsidR="005B1350" w:rsidRDefault="005B1350" w:rsidP="00054651">
      <w:pPr>
        <w:pStyle w:val="BodyText"/>
        <w:jc w:val="both"/>
        <w:rPr>
          <w:sz w:val="26"/>
          <w:szCs w:val="26"/>
        </w:rPr>
      </w:pPr>
    </w:p>
    <w:p w:rsidR="005B1350" w:rsidRDefault="005B1350" w:rsidP="00054651">
      <w:pPr>
        <w:pStyle w:val="BodyText"/>
        <w:jc w:val="both"/>
        <w:rPr>
          <w:sz w:val="26"/>
          <w:szCs w:val="26"/>
        </w:rPr>
      </w:pPr>
      <w:r w:rsidRPr="00266CE2">
        <w:rPr>
          <w:sz w:val="26"/>
          <w:szCs w:val="26"/>
        </w:rPr>
        <w:t>Ở chiều ngược lại, 45% người được hỏi không hài lòng với việc cung cấp các dịch vụ liên quan đến đất đai của các cơ quan chức năng cũng như sự hỗ trợ của cán bộ ở địa phương. Nhiều người đánh giá sự hỗ trợ của cán bộ địa phương và các cơ quan có thẩm quyền mức dưới yêu cầu (43%), và thậm chí 2% số người được hỏi còn lại cho rằng, sự hỗ trợ của cán bộ địa phương ở mức kém rất xa so với yêu cầu đặt ra. Các kết quả có thể được phân loại theo loại cộng đồng như thể hiện trong Bảng 5.</w:t>
      </w:r>
    </w:p>
    <w:p w:rsidR="005B1350" w:rsidRDefault="005B1350" w:rsidP="00054651">
      <w:pPr>
        <w:pStyle w:val="BodyText"/>
        <w:jc w:val="both"/>
        <w:rPr>
          <w:sz w:val="26"/>
          <w:szCs w:val="26"/>
        </w:rPr>
      </w:pPr>
    </w:p>
    <w:p w:rsidR="005B1350" w:rsidRPr="00266CE2" w:rsidRDefault="005B1350" w:rsidP="00054651">
      <w:pPr>
        <w:pStyle w:val="BodyText"/>
        <w:jc w:val="both"/>
        <w:rPr>
          <w:sz w:val="26"/>
          <w:szCs w:val="26"/>
        </w:rPr>
      </w:pPr>
      <w:r w:rsidRPr="00266CE2">
        <w:rPr>
          <w:sz w:val="26"/>
          <w:szCs w:val="26"/>
        </w:rPr>
        <w:t>Từ Bảng 5, có thể thấy rõ rằng sự hỗ trợ của chính quyền và cán bộ địa phương ở khu vực nông thôn và bán đô thị được đánh giá cao hơn so với khu vực đô thị cho tất cả các dịch vụ và hoạt động ngoại trừ hoạt động xin cấp GCNQSDĐ ở nông thôn.</w:t>
      </w:r>
    </w:p>
    <w:p w:rsidR="005B1350" w:rsidRPr="00266CE2" w:rsidRDefault="005B1350" w:rsidP="00054651">
      <w:pPr>
        <w:pStyle w:val="BodyText"/>
        <w:jc w:val="both"/>
        <w:rPr>
          <w:sz w:val="26"/>
          <w:szCs w:val="26"/>
        </w:rPr>
      </w:pPr>
    </w:p>
    <w:p w:rsidR="005B1350" w:rsidRPr="0036131E" w:rsidRDefault="005B1350" w:rsidP="00054651">
      <w:pPr>
        <w:pStyle w:val="BodyText"/>
        <w:jc w:val="both"/>
        <w:rPr>
          <w:sz w:val="26"/>
          <w:szCs w:val="26"/>
        </w:rPr>
      </w:pPr>
      <w:r w:rsidRPr="0036131E">
        <w:rPr>
          <w:sz w:val="26"/>
          <w:szCs w:val="26"/>
        </w:rPr>
        <w:t>Các kết quả trên đã được khẳng định và những sự khác biệt đã được giải thích một phần bởi các cuộc thảo luận nhóm. Tổng cộng, có sáu mươi ý kiến ​​liên quan đến sự hỗ trợ của chính quyền địa phương và cán bộ từ những người tham dự. Những điều này có thể được tóm tắt như sau:</w:t>
      </w:r>
    </w:p>
    <w:p w:rsidR="005B1350" w:rsidRPr="0036131E" w:rsidRDefault="005B1350" w:rsidP="00054651">
      <w:pPr>
        <w:pStyle w:val="BodyText"/>
        <w:jc w:val="both"/>
        <w:rPr>
          <w:sz w:val="26"/>
          <w:szCs w:val="26"/>
        </w:rPr>
      </w:pPr>
    </w:p>
    <w:p w:rsidR="005B1350" w:rsidRPr="00266CE2" w:rsidRDefault="005B1350" w:rsidP="00054651">
      <w:pPr>
        <w:pStyle w:val="BodyText"/>
        <w:numPr>
          <w:ilvl w:val="0"/>
          <w:numId w:val="8"/>
        </w:numPr>
        <w:ind w:left="284" w:hanging="284"/>
        <w:jc w:val="both"/>
        <w:rPr>
          <w:sz w:val="26"/>
          <w:szCs w:val="26"/>
          <w:lang w:val="vi-VN"/>
        </w:rPr>
      </w:pPr>
      <w:r w:rsidRPr="00266CE2">
        <w:rPr>
          <w:sz w:val="26"/>
          <w:szCs w:val="26"/>
          <w:lang w:val="vi-VN"/>
        </w:rPr>
        <w:t>Sự hỗ trợ của chính quyền</w:t>
      </w:r>
      <w:r w:rsidRPr="0036131E">
        <w:rPr>
          <w:sz w:val="26"/>
          <w:szCs w:val="26"/>
        </w:rPr>
        <w:t xml:space="preserve"> và cán bộ</w:t>
      </w:r>
      <w:r w:rsidRPr="00266CE2">
        <w:rPr>
          <w:sz w:val="26"/>
          <w:szCs w:val="26"/>
          <w:lang w:val="vi-VN"/>
        </w:rPr>
        <w:t xml:space="preserve"> địa phương được đánh giá cao nhất đối với các hoạt động liên quan đến việc đăng ký cấp GCNQSDĐ. Đã có hơn một phần ba số người tham gia (22 trong số 60, tương đương 37%) trình bày và chia sẻ kinh nghiệm về sự hỗ trợ của chính quyền và cán bộ địa phương về các hoạt động để đăng ký cấp GCNQSDĐ. Trong đó, 73% trong số họ đã đưa ra nhận xét tích cực. Đây là số lượng ý kiến ​​lớn nhất về chủ đề này;</w:t>
      </w:r>
    </w:p>
    <w:p w:rsidR="005B1350" w:rsidRPr="00266CE2" w:rsidRDefault="005B1350" w:rsidP="00054651">
      <w:pPr>
        <w:pStyle w:val="BodyText"/>
        <w:numPr>
          <w:ilvl w:val="0"/>
          <w:numId w:val="8"/>
        </w:numPr>
        <w:spacing w:before="120"/>
        <w:ind w:left="284" w:hanging="284"/>
        <w:jc w:val="both"/>
        <w:rPr>
          <w:sz w:val="26"/>
          <w:szCs w:val="26"/>
          <w:lang w:val="vi-VN"/>
        </w:rPr>
      </w:pPr>
      <w:r w:rsidRPr="00266CE2">
        <w:rPr>
          <w:sz w:val="26"/>
          <w:szCs w:val="26"/>
          <w:lang w:val="vi-VN"/>
        </w:rPr>
        <w:t>Hỗ trợ của chính quyền và cán bộ địa phương về chia tách thửa đất và thừa kế quyền sử dụng đất được đánh giá tích cực tương ứng, bởi 18% và 13% số người tham gia;</w:t>
      </w:r>
    </w:p>
    <w:p w:rsidR="005B1350" w:rsidRPr="00266CE2" w:rsidRDefault="005B1350" w:rsidP="00054651">
      <w:pPr>
        <w:pStyle w:val="BodyText"/>
        <w:numPr>
          <w:ilvl w:val="0"/>
          <w:numId w:val="8"/>
        </w:numPr>
        <w:spacing w:before="120"/>
        <w:ind w:left="284" w:hanging="284"/>
        <w:jc w:val="both"/>
        <w:rPr>
          <w:sz w:val="26"/>
          <w:szCs w:val="26"/>
          <w:lang w:val="vi-VN"/>
        </w:rPr>
      </w:pPr>
      <w:r w:rsidRPr="00266CE2">
        <w:rPr>
          <w:sz w:val="26"/>
          <w:szCs w:val="26"/>
          <w:lang w:val="vi-VN"/>
        </w:rPr>
        <w:t>Việc hỗ trợ cho các hoạt động thuê và cho thuê lại quyền sử dụng đất chỉ nhận được một ý kiến. Điều này cho thấy các hoạt động cho thuê và cho thuê lại quyền sử dụng đất ở cấp địa phương được coi là đơn giản.</w:t>
      </w:r>
    </w:p>
    <w:p w:rsidR="005B1350" w:rsidRPr="00266CE2" w:rsidRDefault="005B1350" w:rsidP="00054651">
      <w:pPr>
        <w:pStyle w:val="BodyText"/>
        <w:jc w:val="both"/>
        <w:rPr>
          <w:sz w:val="26"/>
          <w:szCs w:val="26"/>
          <w:lang w:val="vi-VN"/>
        </w:rPr>
      </w:pPr>
    </w:p>
    <w:p w:rsidR="005B1350" w:rsidRPr="00266CE2" w:rsidRDefault="005B1350" w:rsidP="00054651">
      <w:pPr>
        <w:pStyle w:val="BodyText"/>
        <w:jc w:val="both"/>
        <w:rPr>
          <w:sz w:val="26"/>
          <w:szCs w:val="26"/>
          <w:lang w:val="vi-VN"/>
        </w:rPr>
      </w:pPr>
      <w:r w:rsidRPr="00266CE2">
        <w:rPr>
          <w:sz w:val="26"/>
          <w:szCs w:val="26"/>
          <w:lang w:val="vi-VN"/>
        </w:rPr>
        <w:t>Thảo luận trong cuộc thảo luận nhóm tại khu vực đô thị đã xác nhận kết quả khảo sát bảng hỏi, theo đó, người dân đánh giá sự hỗ trợ của các cơ quan chính quyền và cán bộ địa phương trong đăng ký cấp GCNQSDĐ là cao nhất.</w:t>
      </w:r>
    </w:p>
    <w:p w:rsidR="005B1350" w:rsidRPr="00266CE2" w:rsidRDefault="005B1350" w:rsidP="00054651">
      <w:pPr>
        <w:pStyle w:val="BodyText"/>
        <w:jc w:val="both"/>
        <w:rPr>
          <w:sz w:val="26"/>
          <w:szCs w:val="26"/>
          <w:lang w:val="vi-VN"/>
        </w:rPr>
      </w:pPr>
    </w:p>
    <w:p w:rsidR="005B1350" w:rsidRPr="00266CE2" w:rsidRDefault="005B1350" w:rsidP="00054651">
      <w:pPr>
        <w:pStyle w:val="BodyText"/>
        <w:jc w:val="both"/>
        <w:rPr>
          <w:sz w:val="26"/>
          <w:szCs w:val="26"/>
          <w:lang w:val="vi-VN"/>
        </w:rPr>
      </w:pPr>
      <w:r w:rsidRPr="00266CE2">
        <w:rPr>
          <w:sz w:val="26"/>
          <w:szCs w:val="26"/>
          <w:lang w:val="vi-VN"/>
        </w:rPr>
        <w:t>Theo cách tương tự, điểm thấp nhất liên quan đến hỗ trợ thực hiện dịch vụ cho thuê/cho thuê lại quyền sử dụng đất; điều này phù hợp với kết quả trình bày trong Bảng 3, về tầm quan trọng của quyền sử dụng đất đối với người dân cũng như thảo luận trong tất cả các cuộc thảo luận nhóm. Cụ thể, các cuộc thảo luận nhóm nhận được ít ý kiến về sự hiểu biết về quyền cho thuê lại đất. Bên cạnh đó, một số người dân không hiểu hết ý nghĩa của cụm từ "bảo lãnh bằng quyền sử dụng đất"</w:t>
      </w:r>
    </w:p>
    <w:p w:rsidR="005B1350" w:rsidRPr="00266CE2" w:rsidRDefault="005B1350" w:rsidP="00054651">
      <w:pPr>
        <w:pStyle w:val="BodyText"/>
        <w:jc w:val="both"/>
        <w:rPr>
          <w:sz w:val="26"/>
          <w:szCs w:val="26"/>
          <w:lang w:val="vi-VN"/>
        </w:rPr>
      </w:pPr>
    </w:p>
    <w:p w:rsidR="005B1350" w:rsidRPr="00266CE2" w:rsidRDefault="005B1350" w:rsidP="00054651">
      <w:pPr>
        <w:pStyle w:val="BodyText"/>
        <w:numPr>
          <w:ilvl w:val="1"/>
          <w:numId w:val="1"/>
        </w:numPr>
        <w:rPr>
          <w:b/>
          <w:sz w:val="26"/>
          <w:szCs w:val="26"/>
          <w:lang w:val="vi-VN"/>
        </w:rPr>
      </w:pPr>
      <w:r w:rsidRPr="00266CE2">
        <w:rPr>
          <w:b/>
          <w:sz w:val="26"/>
          <w:szCs w:val="26"/>
          <w:lang w:val="vi-VN"/>
        </w:rPr>
        <w:t>Tiếp cận thông tin đất đai</w:t>
      </w:r>
    </w:p>
    <w:p w:rsidR="005B1350" w:rsidRPr="0036131E" w:rsidRDefault="005B1350" w:rsidP="00054651">
      <w:pPr>
        <w:pStyle w:val="BodyText"/>
        <w:jc w:val="both"/>
        <w:rPr>
          <w:sz w:val="26"/>
          <w:szCs w:val="26"/>
          <w:lang w:val="vi-VN"/>
        </w:rPr>
      </w:pPr>
      <w:r w:rsidRPr="00266CE2">
        <w:rPr>
          <w:sz w:val="26"/>
          <w:szCs w:val="26"/>
          <w:lang w:val="vi-VN"/>
        </w:rPr>
        <w:br/>
        <w:t>Trung bình 96% người được hỏi cho biết thông tin liên quan đến đất đai rất quan trọng đối với họ. Trong đó, 73,11% cho rằng thông tin liên quan đến đất đai là điều thiết yếu trong mọi lĩnh vực, bao gồm thông tin pháp luật và chính sách, thông tin kỹ thuật và thông tin về thủ tục hành chính.</w:t>
      </w:r>
      <w:r w:rsidRPr="0036131E">
        <w:rPr>
          <w:sz w:val="26"/>
          <w:szCs w:val="26"/>
          <w:lang w:val="vi-VN"/>
        </w:rPr>
        <w:t xml:space="preserve"> Thông tin về GCNQSDĐ được đánh giá là quan trọng nhất đối với người sử dụng đất, đặc biệt là ở khu vực nông thôn và bán đô thị với 4,91 điểm và 4,73, tương ứng. Thông tin liên quan đến GCNQSDĐ bao gồm các kế hoạch tổ chức cấp, các thủ tục hành chính, hồ sơ và các tài liệu cần thiết để xin cấp GCNQSDĐ. Mặt khác, bản đồ địa chính (bao gồm các sơ đồ) và thông tin về thế chấp đất đai được đánh giá ở mức thấp nhất đối với người sử dụng đất với 3,82 điểm và 3,78 (Bảng 6).</w:t>
      </w:r>
    </w:p>
    <w:p w:rsidR="005B1350" w:rsidRPr="00BC3DA9" w:rsidRDefault="005B1350" w:rsidP="00054651">
      <w:pPr>
        <w:pStyle w:val="BodyText"/>
        <w:jc w:val="both"/>
        <w:rPr>
          <w:lang w:val="vi-VN"/>
        </w:rPr>
      </w:pPr>
    </w:p>
    <w:p w:rsidR="005B1350" w:rsidRPr="0086091E" w:rsidRDefault="005B1350" w:rsidP="00054651">
      <w:pPr>
        <w:pStyle w:val="BodyText"/>
        <w:jc w:val="both"/>
        <w:rPr>
          <w:b/>
          <w:sz w:val="22"/>
          <w:lang w:val="vi-VN"/>
        </w:rPr>
      </w:pPr>
      <w:r w:rsidRPr="00BC3DA9">
        <w:rPr>
          <w:b/>
          <w:sz w:val="22"/>
          <w:lang w:val="vi-VN"/>
        </w:rPr>
        <w:t>Bảng 6: Sự quan trọng của thông tin đất đai với người dân</w:t>
      </w:r>
      <w:r w:rsidR="0086091E" w:rsidRPr="0086091E">
        <w:rPr>
          <w:b/>
          <w:sz w:val="22"/>
          <w:lang w:val="vi-VN"/>
        </w:rPr>
        <w:t xml:space="preserve"> tại các khu vực</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375"/>
        <w:gridCol w:w="1376"/>
        <w:gridCol w:w="1375"/>
        <w:gridCol w:w="1376"/>
      </w:tblGrid>
      <w:tr w:rsidR="005B1350" w:rsidRPr="00B81639" w:rsidTr="0088357D">
        <w:trPr>
          <w:trHeight w:val="260"/>
          <w:tblHeader/>
          <w:jc w:val="center"/>
        </w:trPr>
        <w:tc>
          <w:tcPr>
            <w:tcW w:w="3573" w:type="dxa"/>
            <w:tcBorders>
              <w:left w:val="nil"/>
              <w:bottom w:val="single" w:sz="4" w:space="0" w:color="auto"/>
              <w:right w:val="nil"/>
              <w:tl2br w:val="nil"/>
            </w:tcBorders>
            <w:shd w:val="clear" w:color="auto" w:fill="auto"/>
            <w:noWrap/>
            <w:vAlign w:val="bottom"/>
          </w:tcPr>
          <w:p w:rsidR="005B1350" w:rsidRPr="00B81639" w:rsidDel="00B512BC" w:rsidRDefault="005B1350" w:rsidP="0086091E">
            <w:pPr>
              <w:contextualSpacing/>
              <w:jc w:val="center"/>
              <w:rPr>
                <w:color w:val="000000"/>
                <w:sz w:val="21"/>
                <w:szCs w:val="21"/>
                <w:lang w:eastAsia="en-AU"/>
              </w:rPr>
            </w:pPr>
            <w:r w:rsidRPr="000C0B93">
              <w:rPr>
                <w:b/>
                <w:color w:val="000000"/>
                <w:sz w:val="21"/>
                <w:szCs w:val="21"/>
                <w:lang w:eastAsia="en-AU"/>
              </w:rPr>
              <w:t>Thông tin liên quan đến</w:t>
            </w:r>
          </w:p>
        </w:tc>
        <w:tc>
          <w:tcPr>
            <w:tcW w:w="1375" w:type="dxa"/>
            <w:tcBorders>
              <w:left w:val="nil"/>
              <w:bottom w:val="single" w:sz="4" w:space="0" w:color="auto"/>
              <w:right w:val="nil"/>
            </w:tcBorders>
            <w:shd w:val="clear" w:color="auto" w:fill="auto"/>
            <w:vAlign w:val="center"/>
          </w:tcPr>
          <w:p w:rsidR="005B1350" w:rsidRPr="00E433AB" w:rsidRDefault="005B1350" w:rsidP="00054651">
            <w:pPr>
              <w:contextualSpacing/>
              <w:jc w:val="center"/>
              <w:rPr>
                <w:b/>
                <w:color w:val="000000"/>
                <w:sz w:val="21"/>
                <w:szCs w:val="21"/>
                <w:lang w:eastAsia="en-AU"/>
              </w:rPr>
            </w:pPr>
            <w:r w:rsidRPr="00E433AB">
              <w:rPr>
                <w:b/>
                <w:color w:val="000000"/>
                <w:sz w:val="21"/>
                <w:szCs w:val="21"/>
                <w:lang w:eastAsia="en-AU"/>
              </w:rPr>
              <w:t>Thành thị</w:t>
            </w:r>
          </w:p>
        </w:tc>
        <w:tc>
          <w:tcPr>
            <w:tcW w:w="1376" w:type="dxa"/>
            <w:tcBorders>
              <w:left w:val="nil"/>
              <w:bottom w:val="single" w:sz="4" w:space="0" w:color="auto"/>
              <w:right w:val="nil"/>
            </w:tcBorders>
            <w:shd w:val="clear" w:color="auto" w:fill="auto"/>
            <w:vAlign w:val="center"/>
          </w:tcPr>
          <w:p w:rsidR="005B1350" w:rsidRPr="00E433AB" w:rsidRDefault="005B1350" w:rsidP="00054651">
            <w:pPr>
              <w:ind w:left="-57" w:right="-57"/>
              <w:contextualSpacing/>
              <w:jc w:val="center"/>
              <w:rPr>
                <w:b/>
                <w:color w:val="000000"/>
                <w:sz w:val="21"/>
                <w:szCs w:val="21"/>
                <w:lang w:eastAsia="en-AU"/>
              </w:rPr>
            </w:pPr>
            <w:r w:rsidRPr="00E433AB">
              <w:rPr>
                <w:b/>
                <w:color w:val="000000"/>
                <w:sz w:val="21"/>
                <w:szCs w:val="21"/>
                <w:lang w:eastAsia="en-AU"/>
              </w:rPr>
              <w:t>Bán thành thị</w:t>
            </w:r>
          </w:p>
        </w:tc>
        <w:tc>
          <w:tcPr>
            <w:tcW w:w="1375" w:type="dxa"/>
            <w:tcBorders>
              <w:left w:val="nil"/>
              <w:bottom w:val="single" w:sz="4" w:space="0" w:color="auto"/>
              <w:right w:val="nil"/>
            </w:tcBorders>
            <w:shd w:val="clear" w:color="auto" w:fill="auto"/>
            <w:vAlign w:val="center"/>
          </w:tcPr>
          <w:p w:rsidR="005B1350" w:rsidRPr="00E433AB" w:rsidRDefault="005B1350" w:rsidP="00054651">
            <w:pPr>
              <w:contextualSpacing/>
              <w:jc w:val="center"/>
              <w:rPr>
                <w:b/>
                <w:color w:val="000000"/>
                <w:sz w:val="21"/>
                <w:szCs w:val="21"/>
                <w:lang w:eastAsia="en-AU"/>
              </w:rPr>
            </w:pPr>
            <w:r w:rsidRPr="00E433AB">
              <w:rPr>
                <w:b/>
                <w:color w:val="000000"/>
                <w:sz w:val="21"/>
                <w:szCs w:val="21"/>
                <w:lang w:eastAsia="en-AU"/>
              </w:rPr>
              <w:t>Nông thôn</w:t>
            </w:r>
          </w:p>
        </w:tc>
        <w:tc>
          <w:tcPr>
            <w:tcW w:w="1376" w:type="dxa"/>
            <w:tcBorders>
              <w:left w:val="nil"/>
              <w:bottom w:val="single" w:sz="4" w:space="0" w:color="auto"/>
              <w:right w:val="nil"/>
            </w:tcBorders>
            <w:shd w:val="clear" w:color="auto" w:fill="auto"/>
            <w:vAlign w:val="center"/>
          </w:tcPr>
          <w:p w:rsidR="005B1350" w:rsidRPr="00E433AB" w:rsidRDefault="005B1350" w:rsidP="00054651">
            <w:pPr>
              <w:contextualSpacing/>
              <w:jc w:val="center"/>
              <w:rPr>
                <w:b/>
                <w:color w:val="000000"/>
                <w:sz w:val="21"/>
                <w:szCs w:val="21"/>
                <w:lang w:eastAsia="en-AU"/>
              </w:rPr>
            </w:pPr>
            <w:r w:rsidRPr="00E433AB">
              <w:rPr>
                <w:b/>
                <w:color w:val="000000"/>
                <w:sz w:val="21"/>
                <w:szCs w:val="21"/>
                <w:lang w:eastAsia="en-AU"/>
              </w:rPr>
              <w:t>Trung bình</w:t>
            </w:r>
          </w:p>
        </w:tc>
      </w:tr>
      <w:tr w:rsidR="005B1350" w:rsidRPr="00B81639" w:rsidTr="0088357D">
        <w:trPr>
          <w:trHeight w:val="237"/>
          <w:jc w:val="center"/>
        </w:trPr>
        <w:tc>
          <w:tcPr>
            <w:tcW w:w="3573" w:type="dxa"/>
            <w:tcBorders>
              <w:top w:val="single" w:sz="4" w:space="0" w:color="auto"/>
              <w:left w:val="nil"/>
              <w:bottom w:val="nil"/>
              <w:right w:val="nil"/>
            </w:tcBorders>
            <w:shd w:val="clear" w:color="auto" w:fill="auto"/>
            <w:noWrap/>
            <w:vAlign w:val="bottom"/>
            <w:hideMark/>
          </w:tcPr>
          <w:p w:rsidR="005B1350" w:rsidRPr="00B81639" w:rsidRDefault="005B1350" w:rsidP="0086091E">
            <w:pPr>
              <w:contextualSpacing/>
              <w:jc w:val="right"/>
              <w:rPr>
                <w:color w:val="000000"/>
                <w:sz w:val="21"/>
                <w:szCs w:val="21"/>
                <w:lang w:eastAsia="en-AU"/>
              </w:rPr>
            </w:pPr>
            <w:r>
              <w:rPr>
                <w:color w:val="000000"/>
                <w:sz w:val="21"/>
                <w:szCs w:val="21"/>
                <w:lang w:eastAsia="en-AU"/>
              </w:rPr>
              <w:t>Giấy chứng nhận quyền sử dụng đất</w:t>
            </w:r>
          </w:p>
        </w:tc>
        <w:tc>
          <w:tcPr>
            <w:tcW w:w="1375" w:type="dxa"/>
            <w:tcBorders>
              <w:top w:val="single" w:sz="4" w:space="0" w:color="auto"/>
              <w:left w:val="nil"/>
              <w:bottom w:val="nil"/>
              <w:right w:val="nil"/>
            </w:tcBorders>
            <w:shd w:val="clear" w:color="auto" w:fill="auto"/>
            <w:noWrap/>
            <w:vAlign w:val="bottom"/>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4.28</w:t>
            </w:r>
          </w:p>
        </w:tc>
        <w:tc>
          <w:tcPr>
            <w:tcW w:w="1376" w:type="dxa"/>
            <w:tcBorders>
              <w:top w:val="single" w:sz="4" w:space="0" w:color="auto"/>
              <w:left w:val="nil"/>
              <w:bottom w:val="nil"/>
              <w:right w:val="nil"/>
            </w:tcBorders>
            <w:shd w:val="clear" w:color="auto" w:fill="auto"/>
            <w:noWrap/>
            <w:vAlign w:val="bottom"/>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4.73</w:t>
            </w:r>
          </w:p>
        </w:tc>
        <w:tc>
          <w:tcPr>
            <w:tcW w:w="1375" w:type="dxa"/>
            <w:tcBorders>
              <w:top w:val="single" w:sz="4" w:space="0" w:color="auto"/>
              <w:left w:val="nil"/>
              <w:bottom w:val="nil"/>
              <w:right w:val="nil"/>
            </w:tcBorders>
            <w:shd w:val="clear" w:color="auto" w:fill="auto"/>
            <w:noWrap/>
            <w:vAlign w:val="bottom"/>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4.91</w:t>
            </w:r>
          </w:p>
        </w:tc>
        <w:tc>
          <w:tcPr>
            <w:tcW w:w="1376" w:type="dxa"/>
            <w:tcBorders>
              <w:top w:val="single" w:sz="4" w:space="0" w:color="auto"/>
              <w:left w:val="nil"/>
              <w:bottom w:val="nil"/>
              <w:right w:val="nil"/>
            </w:tcBorders>
            <w:shd w:val="clear" w:color="auto" w:fill="auto"/>
            <w:noWrap/>
            <w:vAlign w:val="bottom"/>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4.64</w:t>
            </w:r>
          </w:p>
        </w:tc>
      </w:tr>
      <w:tr w:rsidR="005B1350" w:rsidRPr="00B81639" w:rsidTr="0088357D">
        <w:trPr>
          <w:trHeight w:val="269"/>
          <w:jc w:val="center"/>
        </w:trPr>
        <w:tc>
          <w:tcPr>
            <w:tcW w:w="3573" w:type="dxa"/>
            <w:tcBorders>
              <w:top w:val="nil"/>
              <w:left w:val="nil"/>
              <w:bottom w:val="nil"/>
              <w:right w:val="nil"/>
            </w:tcBorders>
            <w:shd w:val="clear" w:color="auto" w:fill="auto"/>
            <w:noWrap/>
            <w:vAlign w:val="bottom"/>
            <w:hideMark/>
          </w:tcPr>
          <w:p w:rsidR="005B1350" w:rsidRPr="00B81639" w:rsidRDefault="005B1350" w:rsidP="0086091E">
            <w:pPr>
              <w:contextualSpacing/>
              <w:jc w:val="right"/>
              <w:rPr>
                <w:color w:val="000000"/>
                <w:sz w:val="21"/>
                <w:szCs w:val="21"/>
                <w:lang w:eastAsia="en-AU"/>
              </w:rPr>
            </w:pPr>
            <w:r>
              <w:rPr>
                <w:color w:val="000000"/>
                <w:sz w:val="21"/>
                <w:szCs w:val="21"/>
                <w:lang w:eastAsia="en-AU"/>
              </w:rPr>
              <w:t>Chính sách pháp luật đất đai</w:t>
            </w:r>
          </w:p>
        </w:tc>
        <w:tc>
          <w:tcPr>
            <w:tcW w:w="1375" w:type="dxa"/>
            <w:tcBorders>
              <w:top w:val="nil"/>
              <w:left w:val="nil"/>
              <w:bottom w:val="nil"/>
              <w:right w:val="nil"/>
            </w:tcBorders>
            <w:shd w:val="clear" w:color="auto" w:fill="auto"/>
            <w:noWrap/>
            <w:vAlign w:val="bottom"/>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4.20</w:t>
            </w:r>
          </w:p>
        </w:tc>
        <w:tc>
          <w:tcPr>
            <w:tcW w:w="1376" w:type="dxa"/>
            <w:tcBorders>
              <w:top w:val="nil"/>
              <w:left w:val="nil"/>
              <w:bottom w:val="nil"/>
              <w:right w:val="nil"/>
            </w:tcBorders>
            <w:shd w:val="clear" w:color="auto" w:fill="auto"/>
            <w:noWrap/>
            <w:vAlign w:val="bottom"/>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4.67</w:t>
            </w:r>
          </w:p>
        </w:tc>
        <w:tc>
          <w:tcPr>
            <w:tcW w:w="1375" w:type="dxa"/>
            <w:tcBorders>
              <w:top w:val="nil"/>
              <w:left w:val="nil"/>
              <w:bottom w:val="nil"/>
              <w:right w:val="nil"/>
            </w:tcBorders>
            <w:shd w:val="clear" w:color="auto" w:fill="auto"/>
            <w:noWrap/>
            <w:vAlign w:val="bottom"/>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4.28</w:t>
            </w:r>
          </w:p>
        </w:tc>
        <w:tc>
          <w:tcPr>
            <w:tcW w:w="1376" w:type="dxa"/>
            <w:tcBorders>
              <w:top w:val="nil"/>
              <w:left w:val="nil"/>
              <w:bottom w:val="nil"/>
              <w:right w:val="nil"/>
            </w:tcBorders>
            <w:shd w:val="clear" w:color="auto" w:fill="auto"/>
            <w:noWrap/>
            <w:vAlign w:val="bottom"/>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4.38</w:t>
            </w:r>
          </w:p>
        </w:tc>
      </w:tr>
      <w:tr w:rsidR="005B1350" w:rsidRPr="00B81639" w:rsidTr="0088357D">
        <w:trPr>
          <w:trHeight w:val="237"/>
          <w:jc w:val="center"/>
        </w:trPr>
        <w:tc>
          <w:tcPr>
            <w:tcW w:w="3573" w:type="dxa"/>
            <w:tcBorders>
              <w:top w:val="nil"/>
              <w:left w:val="nil"/>
              <w:bottom w:val="nil"/>
              <w:right w:val="nil"/>
            </w:tcBorders>
            <w:shd w:val="clear" w:color="auto" w:fill="auto"/>
            <w:noWrap/>
            <w:vAlign w:val="bottom"/>
            <w:hideMark/>
          </w:tcPr>
          <w:p w:rsidR="005B1350" w:rsidRPr="00B81639" w:rsidRDefault="005B1350" w:rsidP="0086091E">
            <w:pPr>
              <w:contextualSpacing/>
              <w:jc w:val="right"/>
              <w:rPr>
                <w:color w:val="000000"/>
                <w:sz w:val="21"/>
                <w:szCs w:val="21"/>
                <w:lang w:eastAsia="en-AU"/>
              </w:rPr>
            </w:pPr>
            <w:r>
              <w:rPr>
                <w:color w:val="000000"/>
                <w:sz w:val="21"/>
                <w:szCs w:val="21"/>
                <w:lang w:eastAsia="en-AU"/>
              </w:rPr>
              <w:t>Quy hoạch sử dụng đất</w:t>
            </w:r>
          </w:p>
        </w:tc>
        <w:tc>
          <w:tcPr>
            <w:tcW w:w="1375" w:type="dxa"/>
            <w:tcBorders>
              <w:top w:val="nil"/>
              <w:left w:val="nil"/>
              <w:bottom w:val="nil"/>
              <w:right w:val="nil"/>
            </w:tcBorders>
            <w:shd w:val="clear" w:color="auto" w:fill="auto"/>
            <w:noWrap/>
            <w:vAlign w:val="bottom"/>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4.23</w:t>
            </w:r>
          </w:p>
        </w:tc>
        <w:tc>
          <w:tcPr>
            <w:tcW w:w="1376" w:type="dxa"/>
            <w:tcBorders>
              <w:top w:val="nil"/>
              <w:left w:val="nil"/>
              <w:bottom w:val="nil"/>
              <w:right w:val="nil"/>
            </w:tcBorders>
            <w:shd w:val="clear" w:color="auto" w:fill="auto"/>
            <w:noWrap/>
            <w:vAlign w:val="bottom"/>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4.37</w:t>
            </w:r>
          </w:p>
        </w:tc>
        <w:tc>
          <w:tcPr>
            <w:tcW w:w="1375" w:type="dxa"/>
            <w:tcBorders>
              <w:top w:val="nil"/>
              <w:left w:val="nil"/>
              <w:bottom w:val="nil"/>
              <w:right w:val="nil"/>
            </w:tcBorders>
            <w:shd w:val="clear" w:color="auto" w:fill="auto"/>
            <w:noWrap/>
            <w:vAlign w:val="bottom"/>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4.38</w:t>
            </w:r>
          </w:p>
        </w:tc>
        <w:tc>
          <w:tcPr>
            <w:tcW w:w="1376" w:type="dxa"/>
            <w:tcBorders>
              <w:top w:val="nil"/>
              <w:left w:val="nil"/>
              <w:bottom w:val="nil"/>
              <w:right w:val="nil"/>
            </w:tcBorders>
            <w:shd w:val="clear" w:color="auto" w:fill="auto"/>
            <w:noWrap/>
            <w:vAlign w:val="bottom"/>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4.33</w:t>
            </w:r>
          </w:p>
        </w:tc>
      </w:tr>
      <w:tr w:rsidR="005B1350" w:rsidRPr="00B81639" w:rsidTr="0088357D">
        <w:trPr>
          <w:trHeight w:val="237"/>
          <w:jc w:val="center"/>
        </w:trPr>
        <w:tc>
          <w:tcPr>
            <w:tcW w:w="3573" w:type="dxa"/>
            <w:tcBorders>
              <w:top w:val="nil"/>
              <w:left w:val="nil"/>
              <w:bottom w:val="nil"/>
              <w:right w:val="nil"/>
            </w:tcBorders>
            <w:shd w:val="clear" w:color="auto" w:fill="auto"/>
            <w:noWrap/>
            <w:vAlign w:val="bottom"/>
            <w:hideMark/>
          </w:tcPr>
          <w:p w:rsidR="005B1350" w:rsidRPr="00B81639" w:rsidRDefault="005B1350" w:rsidP="0086091E">
            <w:pPr>
              <w:contextualSpacing/>
              <w:jc w:val="right"/>
              <w:rPr>
                <w:color w:val="000000"/>
                <w:sz w:val="21"/>
                <w:szCs w:val="21"/>
                <w:lang w:eastAsia="en-AU"/>
              </w:rPr>
            </w:pPr>
            <w:r>
              <w:rPr>
                <w:color w:val="000000"/>
                <w:sz w:val="21"/>
                <w:szCs w:val="21"/>
                <w:lang w:eastAsia="en-AU"/>
              </w:rPr>
              <w:t>Thủ tục hành chính</w:t>
            </w:r>
          </w:p>
        </w:tc>
        <w:tc>
          <w:tcPr>
            <w:tcW w:w="1375" w:type="dxa"/>
            <w:tcBorders>
              <w:top w:val="nil"/>
              <w:left w:val="nil"/>
              <w:bottom w:val="nil"/>
              <w:right w:val="nil"/>
            </w:tcBorders>
            <w:shd w:val="clear" w:color="auto" w:fill="auto"/>
            <w:noWrap/>
            <w:vAlign w:val="bottom"/>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4.03</w:t>
            </w:r>
          </w:p>
        </w:tc>
        <w:tc>
          <w:tcPr>
            <w:tcW w:w="1376" w:type="dxa"/>
            <w:tcBorders>
              <w:top w:val="nil"/>
              <w:left w:val="nil"/>
              <w:bottom w:val="nil"/>
              <w:right w:val="nil"/>
            </w:tcBorders>
            <w:shd w:val="clear" w:color="auto" w:fill="auto"/>
            <w:noWrap/>
            <w:vAlign w:val="bottom"/>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4.53</w:t>
            </w:r>
          </w:p>
        </w:tc>
        <w:tc>
          <w:tcPr>
            <w:tcW w:w="1375" w:type="dxa"/>
            <w:tcBorders>
              <w:top w:val="nil"/>
              <w:left w:val="nil"/>
              <w:bottom w:val="nil"/>
              <w:right w:val="nil"/>
            </w:tcBorders>
            <w:shd w:val="clear" w:color="auto" w:fill="auto"/>
            <w:noWrap/>
            <w:vAlign w:val="bottom"/>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4.56</w:t>
            </w:r>
          </w:p>
        </w:tc>
        <w:tc>
          <w:tcPr>
            <w:tcW w:w="1376" w:type="dxa"/>
            <w:tcBorders>
              <w:top w:val="nil"/>
              <w:left w:val="nil"/>
              <w:bottom w:val="nil"/>
              <w:right w:val="nil"/>
            </w:tcBorders>
            <w:shd w:val="clear" w:color="auto" w:fill="auto"/>
            <w:noWrap/>
            <w:vAlign w:val="bottom"/>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4.38</w:t>
            </w:r>
          </w:p>
        </w:tc>
      </w:tr>
      <w:tr w:rsidR="005B1350" w:rsidRPr="00B81639" w:rsidTr="0088357D">
        <w:trPr>
          <w:trHeight w:val="237"/>
          <w:jc w:val="center"/>
        </w:trPr>
        <w:tc>
          <w:tcPr>
            <w:tcW w:w="3573" w:type="dxa"/>
            <w:tcBorders>
              <w:top w:val="nil"/>
              <w:left w:val="nil"/>
              <w:bottom w:val="nil"/>
              <w:right w:val="nil"/>
            </w:tcBorders>
            <w:shd w:val="clear" w:color="auto" w:fill="auto"/>
            <w:noWrap/>
            <w:vAlign w:val="bottom"/>
            <w:hideMark/>
          </w:tcPr>
          <w:p w:rsidR="005B1350" w:rsidRPr="00B81639" w:rsidRDefault="005B1350" w:rsidP="0086091E">
            <w:pPr>
              <w:contextualSpacing/>
              <w:jc w:val="right"/>
              <w:rPr>
                <w:color w:val="000000"/>
                <w:sz w:val="21"/>
                <w:szCs w:val="21"/>
                <w:lang w:eastAsia="en-AU"/>
              </w:rPr>
            </w:pPr>
            <w:r>
              <w:rPr>
                <w:color w:val="000000"/>
                <w:sz w:val="21"/>
                <w:szCs w:val="21"/>
                <w:lang w:eastAsia="en-AU"/>
              </w:rPr>
              <w:t>Dịch vụ pháp lý có liên quan</w:t>
            </w:r>
          </w:p>
        </w:tc>
        <w:tc>
          <w:tcPr>
            <w:tcW w:w="1375" w:type="dxa"/>
            <w:tcBorders>
              <w:top w:val="nil"/>
              <w:left w:val="nil"/>
              <w:bottom w:val="nil"/>
              <w:right w:val="nil"/>
            </w:tcBorders>
            <w:shd w:val="clear" w:color="auto" w:fill="auto"/>
            <w:noWrap/>
            <w:vAlign w:val="bottom"/>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3.88</w:t>
            </w:r>
          </w:p>
        </w:tc>
        <w:tc>
          <w:tcPr>
            <w:tcW w:w="1376" w:type="dxa"/>
            <w:tcBorders>
              <w:top w:val="nil"/>
              <w:left w:val="nil"/>
              <w:bottom w:val="nil"/>
              <w:right w:val="nil"/>
            </w:tcBorders>
            <w:shd w:val="clear" w:color="auto" w:fill="auto"/>
            <w:noWrap/>
            <w:vAlign w:val="bottom"/>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4.60</w:t>
            </w:r>
          </w:p>
        </w:tc>
        <w:tc>
          <w:tcPr>
            <w:tcW w:w="1375" w:type="dxa"/>
            <w:tcBorders>
              <w:top w:val="nil"/>
              <w:left w:val="nil"/>
              <w:bottom w:val="nil"/>
              <w:right w:val="nil"/>
            </w:tcBorders>
            <w:shd w:val="clear" w:color="auto" w:fill="auto"/>
            <w:noWrap/>
            <w:vAlign w:val="bottom"/>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4.38</w:t>
            </w:r>
          </w:p>
        </w:tc>
        <w:tc>
          <w:tcPr>
            <w:tcW w:w="1376" w:type="dxa"/>
            <w:tcBorders>
              <w:top w:val="nil"/>
              <w:left w:val="nil"/>
              <w:bottom w:val="nil"/>
              <w:right w:val="nil"/>
            </w:tcBorders>
            <w:shd w:val="clear" w:color="auto" w:fill="auto"/>
            <w:noWrap/>
            <w:vAlign w:val="bottom"/>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4.29</w:t>
            </w:r>
          </w:p>
        </w:tc>
      </w:tr>
      <w:tr w:rsidR="005B1350" w:rsidRPr="00B81639" w:rsidTr="0088357D">
        <w:trPr>
          <w:trHeight w:val="237"/>
          <w:jc w:val="center"/>
        </w:trPr>
        <w:tc>
          <w:tcPr>
            <w:tcW w:w="3573" w:type="dxa"/>
            <w:tcBorders>
              <w:top w:val="nil"/>
              <w:left w:val="nil"/>
              <w:bottom w:val="nil"/>
              <w:right w:val="nil"/>
            </w:tcBorders>
            <w:shd w:val="clear" w:color="auto" w:fill="auto"/>
            <w:noWrap/>
            <w:vAlign w:val="bottom"/>
            <w:hideMark/>
          </w:tcPr>
          <w:p w:rsidR="005B1350" w:rsidRPr="00B81639" w:rsidRDefault="005B1350" w:rsidP="0086091E">
            <w:pPr>
              <w:contextualSpacing/>
              <w:jc w:val="right"/>
              <w:rPr>
                <w:color w:val="000000"/>
                <w:sz w:val="21"/>
                <w:szCs w:val="21"/>
                <w:lang w:eastAsia="en-AU"/>
              </w:rPr>
            </w:pPr>
            <w:r>
              <w:rPr>
                <w:color w:val="000000"/>
                <w:sz w:val="21"/>
                <w:szCs w:val="21"/>
                <w:lang w:eastAsia="en-AU"/>
              </w:rPr>
              <w:t>Thông tin về giá đất</w:t>
            </w:r>
          </w:p>
        </w:tc>
        <w:tc>
          <w:tcPr>
            <w:tcW w:w="1375" w:type="dxa"/>
            <w:tcBorders>
              <w:top w:val="nil"/>
              <w:left w:val="nil"/>
              <w:bottom w:val="nil"/>
              <w:right w:val="nil"/>
            </w:tcBorders>
            <w:shd w:val="clear" w:color="auto" w:fill="auto"/>
            <w:noWrap/>
            <w:vAlign w:val="bottom"/>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4.10</w:t>
            </w:r>
          </w:p>
        </w:tc>
        <w:tc>
          <w:tcPr>
            <w:tcW w:w="1376" w:type="dxa"/>
            <w:tcBorders>
              <w:top w:val="nil"/>
              <w:left w:val="nil"/>
              <w:bottom w:val="nil"/>
              <w:right w:val="nil"/>
            </w:tcBorders>
            <w:shd w:val="clear" w:color="auto" w:fill="auto"/>
            <w:noWrap/>
            <w:vAlign w:val="bottom"/>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3.83</w:t>
            </w:r>
          </w:p>
        </w:tc>
        <w:tc>
          <w:tcPr>
            <w:tcW w:w="1375" w:type="dxa"/>
            <w:tcBorders>
              <w:top w:val="nil"/>
              <w:left w:val="nil"/>
              <w:bottom w:val="nil"/>
              <w:right w:val="nil"/>
            </w:tcBorders>
            <w:shd w:val="clear" w:color="auto" w:fill="auto"/>
            <w:noWrap/>
            <w:vAlign w:val="bottom"/>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4.38</w:t>
            </w:r>
          </w:p>
        </w:tc>
        <w:tc>
          <w:tcPr>
            <w:tcW w:w="1376" w:type="dxa"/>
            <w:tcBorders>
              <w:top w:val="nil"/>
              <w:left w:val="nil"/>
              <w:bottom w:val="nil"/>
              <w:right w:val="nil"/>
            </w:tcBorders>
            <w:shd w:val="clear" w:color="auto" w:fill="auto"/>
            <w:noWrap/>
            <w:vAlign w:val="bottom"/>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4.10</w:t>
            </w:r>
          </w:p>
        </w:tc>
      </w:tr>
      <w:tr w:rsidR="005B1350" w:rsidRPr="00B81639" w:rsidTr="0088357D">
        <w:trPr>
          <w:trHeight w:val="237"/>
          <w:jc w:val="center"/>
        </w:trPr>
        <w:tc>
          <w:tcPr>
            <w:tcW w:w="3573" w:type="dxa"/>
            <w:tcBorders>
              <w:top w:val="nil"/>
              <w:left w:val="nil"/>
              <w:bottom w:val="nil"/>
              <w:right w:val="nil"/>
            </w:tcBorders>
            <w:shd w:val="clear" w:color="auto" w:fill="auto"/>
            <w:noWrap/>
            <w:vAlign w:val="bottom"/>
            <w:hideMark/>
          </w:tcPr>
          <w:p w:rsidR="005B1350" w:rsidRPr="00B81639" w:rsidRDefault="005B1350" w:rsidP="0086091E">
            <w:pPr>
              <w:contextualSpacing/>
              <w:jc w:val="right"/>
              <w:rPr>
                <w:color w:val="000000"/>
                <w:sz w:val="21"/>
                <w:szCs w:val="21"/>
                <w:lang w:eastAsia="en-AU"/>
              </w:rPr>
            </w:pPr>
            <w:r>
              <w:rPr>
                <w:color w:val="000000"/>
                <w:sz w:val="21"/>
                <w:szCs w:val="21"/>
                <w:lang w:eastAsia="en-AU"/>
              </w:rPr>
              <w:t>Bản đồ địa chính</w:t>
            </w:r>
          </w:p>
        </w:tc>
        <w:tc>
          <w:tcPr>
            <w:tcW w:w="1375" w:type="dxa"/>
            <w:tcBorders>
              <w:top w:val="nil"/>
              <w:left w:val="nil"/>
              <w:bottom w:val="nil"/>
              <w:right w:val="nil"/>
            </w:tcBorders>
            <w:shd w:val="clear" w:color="auto" w:fill="auto"/>
            <w:noWrap/>
            <w:vAlign w:val="bottom"/>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3.88</w:t>
            </w:r>
          </w:p>
        </w:tc>
        <w:tc>
          <w:tcPr>
            <w:tcW w:w="1376" w:type="dxa"/>
            <w:tcBorders>
              <w:top w:val="nil"/>
              <w:left w:val="nil"/>
              <w:bottom w:val="nil"/>
              <w:right w:val="nil"/>
            </w:tcBorders>
            <w:shd w:val="clear" w:color="auto" w:fill="auto"/>
            <w:noWrap/>
            <w:vAlign w:val="bottom"/>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3.80</w:t>
            </w:r>
          </w:p>
        </w:tc>
        <w:tc>
          <w:tcPr>
            <w:tcW w:w="1375" w:type="dxa"/>
            <w:tcBorders>
              <w:top w:val="nil"/>
              <w:left w:val="nil"/>
              <w:bottom w:val="nil"/>
              <w:right w:val="nil"/>
            </w:tcBorders>
            <w:shd w:val="clear" w:color="auto" w:fill="auto"/>
            <w:noWrap/>
            <w:vAlign w:val="bottom"/>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3.78</w:t>
            </w:r>
          </w:p>
        </w:tc>
        <w:tc>
          <w:tcPr>
            <w:tcW w:w="1376" w:type="dxa"/>
            <w:tcBorders>
              <w:top w:val="nil"/>
              <w:left w:val="nil"/>
              <w:bottom w:val="nil"/>
              <w:right w:val="nil"/>
            </w:tcBorders>
            <w:shd w:val="clear" w:color="auto" w:fill="auto"/>
            <w:noWrap/>
            <w:vAlign w:val="bottom"/>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3.82</w:t>
            </w:r>
          </w:p>
        </w:tc>
      </w:tr>
      <w:tr w:rsidR="005B1350" w:rsidRPr="00B81639" w:rsidTr="0088357D">
        <w:trPr>
          <w:trHeight w:val="237"/>
          <w:jc w:val="center"/>
        </w:trPr>
        <w:tc>
          <w:tcPr>
            <w:tcW w:w="3573" w:type="dxa"/>
            <w:tcBorders>
              <w:top w:val="nil"/>
              <w:left w:val="nil"/>
              <w:right w:val="nil"/>
            </w:tcBorders>
            <w:shd w:val="clear" w:color="auto" w:fill="auto"/>
            <w:noWrap/>
            <w:vAlign w:val="bottom"/>
            <w:hideMark/>
          </w:tcPr>
          <w:p w:rsidR="005B1350" w:rsidRPr="00B81639" w:rsidRDefault="005B1350" w:rsidP="0086091E">
            <w:pPr>
              <w:contextualSpacing/>
              <w:jc w:val="right"/>
              <w:rPr>
                <w:color w:val="000000"/>
                <w:sz w:val="21"/>
                <w:szCs w:val="21"/>
                <w:lang w:eastAsia="en-AU"/>
              </w:rPr>
            </w:pPr>
            <w:r>
              <w:rPr>
                <w:color w:val="000000"/>
                <w:sz w:val="21"/>
                <w:szCs w:val="21"/>
                <w:lang w:eastAsia="en-AU"/>
              </w:rPr>
              <w:t>Thế chấp quyền sử dụng đất</w:t>
            </w:r>
          </w:p>
        </w:tc>
        <w:tc>
          <w:tcPr>
            <w:tcW w:w="1375" w:type="dxa"/>
            <w:tcBorders>
              <w:top w:val="nil"/>
              <w:left w:val="nil"/>
              <w:right w:val="nil"/>
            </w:tcBorders>
            <w:shd w:val="clear" w:color="auto" w:fill="auto"/>
            <w:noWrap/>
            <w:vAlign w:val="bottom"/>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3.70</w:t>
            </w:r>
          </w:p>
        </w:tc>
        <w:tc>
          <w:tcPr>
            <w:tcW w:w="1376" w:type="dxa"/>
            <w:tcBorders>
              <w:top w:val="nil"/>
              <w:left w:val="nil"/>
              <w:right w:val="nil"/>
            </w:tcBorders>
            <w:shd w:val="clear" w:color="auto" w:fill="auto"/>
            <w:noWrap/>
            <w:vAlign w:val="bottom"/>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3.83</w:t>
            </w:r>
          </w:p>
        </w:tc>
        <w:tc>
          <w:tcPr>
            <w:tcW w:w="1375" w:type="dxa"/>
            <w:tcBorders>
              <w:top w:val="nil"/>
              <w:left w:val="nil"/>
              <w:right w:val="nil"/>
            </w:tcBorders>
            <w:shd w:val="clear" w:color="auto" w:fill="auto"/>
            <w:noWrap/>
            <w:vAlign w:val="bottom"/>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3.81</w:t>
            </w:r>
          </w:p>
        </w:tc>
        <w:tc>
          <w:tcPr>
            <w:tcW w:w="1376" w:type="dxa"/>
            <w:tcBorders>
              <w:top w:val="nil"/>
              <w:left w:val="nil"/>
              <w:right w:val="nil"/>
            </w:tcBorders>
            <w:shd w:val="clear" w:color="auto" w:fill="auto"/>
            <w:noWrap/>
            <w:vAlign w:val="bottom"/>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3.78</w:t>
            </w:r>
          </w:p>
        </w:tc>
      </w:tr>
    </w:tbl>
    <w:p w:rsidR="005B1350" w:rsidRDefault="005B1350" w:rsidP="00054651">
      <w:pPr>
        <w:pStyle w:val="BodyText"/>
        <w:jc w:val="both"/>
        <w:rPr>
          <w:lang w:val="en-US"/>
        </w:rPr>
      </w:pPr>
    </w:p>
    <w:p w:rsidR="005B1350" w:rsidRPr="00266CE2" w:rsidRDefault="005B1350" w:rsidP="00054651">
      <w:pPr>
        <w:pStyle w:val="BodyText"/>
        <w:jc w:val="both"/>
        <w:rPr>
          <w:sz w:val="26"/>
          <w:szCs w:val="26"/>
          <w:lang w:val="en-US"/>
        </w:rPr>
      </w:pPr>
      <w:r w:rsidRPr="00266CE2">
        <w:rPr>
          <w:sz w:val="26"/>
          <w:szCs w:val="26"/>
          <w:lang w:val="en-US"/>
        </w:rPr>
        <w:t>Các chủ đề, câu hỏi liên quan cũng đã được thảo luận trong cả ba cuộc thảo luận nhóm. Kết quả thảo luận cho thấy những kết quả trên đã phản ánh một phần nhu cầu và sự hiểu biết của các cá nhân và hộ gia đình về thông tin đất đai.</w:t>
      </w:r>
    </w:p>
    <w:p w:rsidR="005B1350" w:rsidRPr="00266CE2" w:rsidRDefault="005B1350" w:rsidP="00054651">
      <w:pPr>
        <w:pStyle w:val="BodyText"/>
        <w:jc w:val="both"/>
        <w:rPr>
          <w:sz w:val="26"/>
          <w:szCs w:val="26"/>
          <w:lang w:val="en-US"/>
        </w:rPr>
      </w:pPr>
    </w:p>
    <w:p w:rsidR="005B1350" w:rsidRPr="00266CE2" w:rsidRDefault="005B1350" w:rsidP="00054651">
      <w:pPr>
        <w:pStyle w:val="BodyText"/>
        <w:jc w:val="both"/>
        <w:rPr>
          <w:sz w:val="26"/>
          <w:szCs w:val="26"/>
          <w:lang w:val="en-US"/>
        </w:rPr>
      </w:pPr>
      <w:r w:rsidRPr="00266CE2">
        <w:rPr>
          <w:sz w:val="26"/>
          <w:szCs w:val="26"/>
          <w:lang w:val="en-US"/>
        </w:rPr>
        <w:t>Người tham gia tham vấn, đặc biệt là những người sống ở khu vực nông thôn và bán đô thị quan tâm nhiều đến thông tin giá đất và quy hoạch sử dụng đất. Thảo luận cho thấy hơn một nửa số câu trả lời tại cuộc thảo luận nhóm ở nông thôn và khoảng 70% câu trả lời tại cuộc thảo luận nhóm bán đô thị xem đây là thông tin quan trọng nhất đối với họ trong việc đưa ra quyết định về sử dụng đất. Người được tham vấn cũng cho rằng việc tiếp cận với kế hoạch sử dụng đất, kể cả thông tin chung về quy hoạch sử dụng đất là rất khó khăn. Thông tin giá đất được công bố theo quyết định hành chính của ủy ban nhân dân tỉnh nhưng lại không được hiển thị trên bản đồ. Điều này dẫn đến sự thiếu minh bạch và gây khó khăn cho người dân tiếp cận thông tin về giá đất.</w:t>
      </w:r>
    </w:p>
    <w:p w:rsidR="005B1350" w:rsidRPr="00266CE2" w:rsidRDefault="005B1350" w:rsidP="00054651">
      <w:pPr>
        <w:pStyle w:val="BodyText"/>
        <w:jc w:val="both"/>
        <w:rPr>
          <w:sz w:val="26"/>
          <w:szCs w:val="26"/>
          <w:lang w:val="en-US"/>
        </w:rPr>
      </w:pPr>
    </w:p>
    <w:p w:rsidR="005B1350" w:rsidRPr="00266CE2" w:rsidRDefault="005B1350" w:rsidP="00054651">
      <w:pPr>
        <w:pStyle w:val="BodyText"/>
        <w:jc w:val="both"/>
        <w:rPr>
          <w:sz w:val="26"/>
          <w:szCs w:val="26"/>
          <w:lang w:val="en-US"/>
        </w:rPr>
      </w:pPr>
      <w:r w:rsidRPr="00266CE2">
        <w:rPr>
          <w:sz w:val="26"/>
          <w:szCs w:val="26"/>
          <w:lang w:val="en-US"/>
        </w:rPr>
        <w:t xml:space="preserve">Một số ít người tham gia có nhu cầu về bản đồ địa chính hay các sơ đồ và thông tin về thực hiện thế chấp quyền sử dụng đất. Người dân sống trong các khu vực đã được thực hiện Dự án VLAP đã được cán bộ đo đạc của các nhà thầu cung cấp các hồ sơ kỹ thuật trong thời gian đo đạc bản đồ để kiểm tra, xác minh các thông tin có liên quan như tên tuổi, địa chỉ chủ sử dụng, độ dài của ranh giới và kích thước thửa đất. Họ được yêu cầu </w:t>
      </w:r>
      <w:r w:rsidRPr="00266CE2">
        <w:rPr>
          <w:sz w:val="26"/>
          <w:szCs w:val="26"/>
          <w:lang w:val="en-US"/>
        </w:rPr>
        <w:lastRenderedPageBreak/>
        <w:t>cung cấp phản hồi về kết quả đo đạc để cán bộ đo đạc kiểm tra, sửa đổi nếu cần thiết. Mục đích chủ yếu để các chủ sử dụng đất tự kiểm tra thông tin về thửa đất của mình, tiến hành đánh dấu ranh giới thửa đất. Đây là một trong những cách mà các cán bộ đo đạc và các cơ quan chính phủ huy động sự tham gia của người sử dụng đất trong quá trình thu thập dữ liệu đất đai. Mặc dù vậy, người dân thường chỉ có thể xác minh thông tin mô tả như tên, địa chỉ và số CMND. Sẽ khó khăn cho họ để xác minh tính chính xác của kích thước thửa đất. Tuy nhiên, đây vẫn là một biện pháp tốt để chỉnh sửa dữ liệu ngay từ các bên liên quan ở địa phương.</w:t>
      </w:r>
    </w:p>
    <w:p w:rsidR="005B1350" w:rsidRPr="00266CE2" w:rsidRDefault="005B1350" w:rsidP="00054651">
      <w:pPr>
        <w:pStyle w:val="BodyText"/>
        <w:jc w:val="both"/>
        <w:rPr>
          <w:sz w:val="26"/>
          <w:szCs w:val="26"/>
          <w:lang w:val="en-US"/>
        </w:rPr>
      </w:pPr>
    </w:p>
    <w:p w:rsidR="005B1350" w:rsidRPr="00266CE2" w:rsidRDefault="005B1350" w:rsidP="00054651">
      <w:pPr>
        <w:pStyle w:val="BodyText"/>
        <w:jc w:val="both"/>
        <w:rPr>
          <w:sz w:val="26"/>
          <w:szCs w:val="26"/>
          <w:lang w:val="en-US"/>
        </w:rPr>
      </w:pPr>
      <w:r w:rsidRPr="00266CE2">
        <w:rPr>
          <w:sz w:val="26"/>
          <w:szCs w:val="26"/>
          <w:lang w:val="en-US"/>
        </w:rPr>
        <w:t>Phần trên đã trình bày kết quả đánh giá của người sử dụng đất ở cơ sở về tầm quan trọng của thông tin đất đai. Kết quả cho thấy, mặc dù có những ý kiến khác nhau, cá nhân và hộ gia đình có nhu cầu đáng kể về thông tin liên quan đến đất đai. Phần dưới sẽ trình bày khả năng tiếp cận thông tin và các văn bản liên quan đến đất đai của người dân và thảo luận về các rào cản mà các cá nhân và hộ gia đình gặp phải.</w:t>
      </w:r>
    </w:p>
    <w:p w:rsidR="005B1350" w:rsidRPr="00266CE2" w:rsidRDefault="005B1350" w:rsidP="00054651">
      <w:pPr>
        <w:pStyle w:val="BodyText"/>
        <w:jc w:val="both"/>
        <w:rPr>
          <w:sz w:val="26"/>
          <w:szCs w:val="26"/>
          <w:lang w:val="en-US"/>
        </w:rPr>
      </w:pPr>
    </w:p>
    <w:p w:rsidR="005B1350" w:rsidRPr="00266CE2" w:rsidRDefault="005B1350" w:rsidP="00054651">
      <w:pPr>
        <w:pStyle w:val="BodyText"/>
        <w:jc w:val="both"/>
        <w:rPr>
          <w:sz w:val="26"/>
          <w:szCs w:val="26"/>
          <w:lang w:val="en-US"/>
        </w:rPr>
      </w:pPr>
      <w:r w:rsidRPr="00266CE2">
        <w:rPr>
          <w:sz w:val="26"/>
          <w:szCs w:val="26"/>
          <w:lang w:val="en-US"/>
        </w:rPr>
        <w:t>Bảng 7 và Bảng 8 trình bày kết quả về khả năng tiếp cận thông tin, hồ sơ liên quan đến đất đai của người sử dụng đất, được chia thành 3 cấp: khó tiếp cận; trung bình; và dễ dàng tiếp cận.</w:t>
      </w:r>
    </w:p>
    <w:p w:rsidR="005B1350" w:rsidRDefault="005B1350" w:rsidP="00054651">
      <w:pPr>
        <w:pStyle w:val="BodyText"/>
        <w:jc w:val="both"/>
        <w:rPr>
          <w:lang w:val="en-US"/>
        </w:rPr>
      </w:pPr>
    </w:p>
    <w:p w:rsidR="005B1350" w:rsidRPr="00B81639" w:rsidRDefault="005B1350" w:rsidP="00054651">
      <w:pPr>
        <w:pStyle w:val="BodyText"/>
        <w:jc w:val="both"/>
        <w:rPr>
          <w:b/>
          <w:sz w:val="22"/>
          <w:lang w:val="en-US"/>
        </w:rPr>
      </w:pPr>
      <w:r w:rsidRPr="00B81639">
        <w:rPr>
          <w:b/>
          <w:sz w:val="22"/>
          <w:lang w:val="en-US"/>
        </w:rPr>
        <w:t xml:space="preserve">Table </w:t>
      </w:r>
      <w:r>
        <w:rPr>
          <w:b/>
          <w:sz w:val="22"/>
          <w:lang w:val="en-US"/>
        </w:rPr>
        <w:t>7</w:t>
      </w:r>
      <w:r w:rsidRPr="00B81639">
        <w:rPr>
          <w:b/>
          <w:sz w:val="22"/>
          <w:lang w:val="en-US"/>
        </w:rPr>
        <w:t xml:space="preserve">: </w:t>
      </w:r>
      <w:r>
        <w:rPr>
          <w:b/>
          <w:sz w:val="22"/>
          <w:lang w:val="en-US"/>
        </w:rPr>
        <w:t>Khả năng tiếp cận thông tin đất đai</w:t>
      </w:r>
    </w:p>
    <w:tbl>
      <w:tblPr>
        <w:tblW w:w="9042" w:type="dxa"/>
        <w:jc w:val="center"/>
        <w:tblBorders>
          <w:top w:val="single" w:sz="4" w:space="0" w:color="auto"/>
          <w:bottom w:val="single" w:sz="4" w:space="0" w:color="auto"/>
        </w:tblBorders>
        <w:tblLayout w:type="fixed"/>
        <w:tblLook w:val="04A0" w:firstRow="1" w:lastRow="0" w:firstColumn="1" w:lastColumn="0" w:noHBand="0" w:noVBand="1"/>
      </w:tblPr>
      <w:tblGrid>
        <w:gridCol w:w="3407"/>
        <w:gridCol w:w="1417"/>
        <w:gridCol w:w="1250"/>
        <w:gridCol w:w="1484"/>
        <w:gridCol w:w="1484"/>
      </w:tblGrid>
      <w:tr w:rsidR="005B1350" w:rsidRPr="00494015" w:rsidTr="0088357D">
        <w:trPr>
          <w:trHeight w:val="300"/>
          <w:jc w:val="center"/>
        </w:trPr>
        <w:tc>
          <w:tcPr>
            <w:tcW w:w="3407" w:type="dxa"/>
            <w:tcBorders>
              <w:top w:val="single" w:sz="4" w:space="0" w:color="auto"/>
              <w:bottom w:val="single" w:sz="4" w:space="0" w:color="auto"/>
            </w:tcBorders>
            <w:shd w:val="clear" w:color="auto" w:fill="auto"/>
            <w:noWrap/>
            <w:vAlign w:val="center"/>
          </w:tcPr>
          <w:p w:rsidR="005B1350" w:rsidRPr="00494015" w:rsidRDefault="005B1350" w:rsidP="0086091E">
            <w:pPr>
              <w:jc w:val="center"/>
              <w:rPr>
                <w:b/>
                <w:color w:val="000000"/>
                <w:sz w:val="21"/>
                <w:szCs w:val="21"/>
                <w:lang w:eastAsia="en-AU"/>
              </w:rPr>
            </w:pPr>
            <w:r w:rsidRPr="00494015">
              <w:rPr>
                <w:b/>
                <w:color w:val="000000"/>
                <w:sz w:val="21"/>
                <w:szCs w:val="21"/>
                <w:lang w:eastAsia="en-AU"/>
              </w:rPr>
              <w:t>Thông tin đất đai</w:t>
            </w:r>
          </w:p>
        </w:tc>
        <w:tc>
          <w:tcPr>
            <w:tcW w:w="1417" w:type="dxa"/>
            <w:tcBorders>
              <w:top w:val="single" w:sz="4" w:space="0" w:color="auto"/>
              <w:bottom w:val="single" w:sz="4" w:space="0" w:color="auto"/>
            </w:tcBorders>
            <w:shd w:val="clear" w:color="auto" w:fill="auto"/>
            <w:noWrap/>
            <w:vAlign w:val="center"/>
          </w:tcPr>
          <w:p w:rsidR="005B1350" w:rsidRPr="00494015" w:rsidRDefault="005B1350" w:rsidP="00054651">
            <w:pPr>
              <w:jc w:val="center"/>
              <w:rPr>
                <w:b/>
                <w:sz w:val="21"/>
                <w:szCs w:val="21"/>
              </w:rPr>
            </w:pPr>
            <w:r>
              <w:rPr>
                <w:b/>
                <w:sz w:val="21"/>
                <w:szCs w:val="21"/>
              </w:rPr>
              <w:t>Khó truy cập</w:t>
            </w:r>
          </w:p>
        </w:tc>
        <w:tc>
          <w:tcPr>
            <w:tcW w:w="1250" w:type="dxa"/>
            <w:tcBorders>
              <w:top w:val="single" w:sz="4" w:space="0" w:color="auto"/>
              <w:bottom w:val="single" w:sz="4" w:space="0" w:color="auto"/>
            </w:tcBorders>
            <w:shd w:val="clear" w:color="auto" w:fill="auto"/>
            <w:noWrap/>
            <w:vAlign w:val="center"/>
          </w:tcPr>
          <w:p w:rsidR="005B1350" w:rsidRPr="00494015" w:rsidRDefault="005B1350" w:rsidP="00054651">
            <w:pPr>
              <w:jc w:val="center"/>
              <w:rPr>
                <w:b/>
                <w:sz w:val="21"/>
                <w:szCs w:val="21"/>
              </w:rPr>
            </w:pPr>
            <w:r>
              <w:rPr>
                <w:b/>
                <w:sz w:val="21"/>
                <w:szCs w:val="21"/>
              </w:rPr>
              <w:t>Trung bình</w:t>
            </w:r>
          </w:p>
        </w:tc>
        <w:tc>
          <w:tcPr>
            <w:tcW w:w="1484" w:type="dxa"/>
            <w:tcBorders>
              <w:top w:val="single" w:sz="4" w:space="0" w:color="auto"/>
              <w:bottom w:val="single" w:sz="4" w:space="0" w:color="auto"/>
            </w:tcBorders>
            <w:shd w:val="clear" w:color="auto" w:fill="auto"/>
            <w:noWrap/>
            <w:vAlign w:val="center"/>
          </w:tcPr>
          <w:p w:rsidR="005B1350" w:rsidRPr="00494015" w:rsidRDefault="005B1350" w:rsidP="00054651">
            <w:pPr>
              <w:jc w:val="center"/>
              <w:rPr>
                <w:b/>
                <w:sz w:val="21"/>
                <w:szCs w:val="21"/>
              </w:rPr>
            </w:pPr>
            <w:r>
              <w:rPr>
                <w:b/>
                <w:sz w:val="21"/>
                <w:szCs w:val="21"/>
              </w:rPr>
              <w:t>Dễ truy cập</w:t>
            </w:r>
          </w:p>
        </w:tc>
        <w:tc>
          <w:tcPr>
            <w:tcW w:w="1484" w:type="dxa"/>
            <w:tcBorders>
              <w:top w:val="single" w:sz="4" w:space="0" w:color="auto"/>
              <w:bottom w:val="single" w:sz="4" w:space="0" w:color="auto"/>
            </w:tcBorders>
            <w:shd w:val="clear" w:color="auto" w:fill="auto"/>
            <w:noWrap/>
            <w:vAlign w:val="center"/>
          </w:tcPr>
          <w:p w:rsidR="005B1350" w:rsidRPr="00494015" w:rsidRDefault="005B1350" w:rsidP="00054651">
            <w:pPr>
              <w:jc w:val="center"/>
              <w:rPr>
                <w:b/>
                <w:color w:val="000000"/>
                <w:sz w:val="21"/>
                <w:szCs w:val="21"/>
                <w:lang w:eastAsia="en-AU"/>
              </w:rPr>
            </w:pPr>
            <w:r>
              <w:rPr>
                <w:b/>
                <w:color w:val="000000"/>
                <w:sz w:val="21"/>
                <w:szCs w:val="21"/>
                <w:lang w:eastAsia="en-AU"/>
              </w:rPr>
              <w:t>Tổng hợp</w:t>
            </w:r>
          </w:p>
        </w:tc>
      </w:tr>
      <w:tr w:rsidR="005B1350" w:rsidRPr="00B81639" w:rsidTr="0088357D">
        <w:trPr>
          <w:trHeight w:val="300"/>
          <w:jc w:val="center"/>
        </w:trPr>
        <w:tc>
          <w:tcPr>
            <w:tcW w:w="3407" w:type="dxa"/>
            <w:tcBorders>
              <w:top w:val="single" w:sz="4" w:space="0" w:color="auto"/>
            </w:tcBorders>
            <w:shd w:val="clear" w:color="auto" w:fill="auto"/>
            <w:noWrap/>
            <w:vAlign w:val="bottom"/>
            <w:hideMark/>
          </w:tcPr>
          <w:p w:rsidR="005B1350" w:rsidRPr="00B81639" w:rsidRDefault="005B1350" w:rsidP="0086091E">
            <w:pPr>
              <w:jc w:val="right"/>
              <w:rPr>
                <w:color w:val="000000"/>
                <w:sz w:val="21"/>
                <w:szCs w:val="21"/>
                <w:lang w:eastAsia="en-AU"/>
              </w:rPr>
            </w:pPr>
            <w:r>
              <w:rPr>
                <w:color w:val="000000"/>
                <w:sz w:val="21"/>
                <w:szCs w:val="21"/>
                <w:lang w:eastAsia="en-AU"/>
              </w:rPr>
              <w:t>Thủ tục hành chính</w:t>
            </w:r>
          </w:p>
        </w:tc>
        <w:tc>
          <w:tcPr>
            <w:tcW w:w="1417" w:type="dxa"/>
            <w:tcBorders>
              <w:top w:val="single" w:sz="4" w:space="0" w:color="auto"/>
            </w:tcBorders>
            <w:shd w:val="clear" w:color="auto" w:fill="auto"/>
            <w:noWrap/>
            <w:vAlign w:val="bottom"/>
          </w:tcPr>
          <w:p w:rsidR="005B1350" w:rsidRPr="00B81639" w:rsidRDefault="005B1350" w:rsidP="00054651">
            <w:pPr>
              <w:jc w:val="right"/>
              <w:rPr>
                <w:color w:val="000000"/>
                <w:sz w:val="21"/>
                <w:szCs w:val="21"/>
                <w:lang w:eastAsia="en-AU"/>
              </w:rPr>
            </w:pPr>
            <w:r w:rsidRPr="00B81639">
              <w:rPr>
                <w:color w:val="000000"/>
                <w:sz w:val="21"/>
                <w:szCs w:val="21"/>
                <w:lang w:eastAsia="en-AU"/>
              </w:rPr>
              <w:t>20 (16%)</w:t>
            </w:r>
          </w:p>
        </w:tc>
        <w:tc>
          <w:tcPr>
            <w:tcW w:w="1250" w:type="dxa"/>
            <w:tcBorders>
              <w:top w:val="single" w:sz="4" w:space="0" w:color="auto"/>
            </w:tcBorders>
            <w:shd w:val="clear" w:color="auto" w:fill="auto"/>
            <w:noWrap/>
            <w:vAlign w:val="bottom"/>
            <w:hideMark/>
          </w:tcPr>
          <w:p w:rsidR="005B1350" w:rsidRPr="00B81639" w:rsidRDefault="005B1350" w:rsidP="00054651">
            <w:pPr>
              <w:jc w:val="right"/>
              <w:rPr>
                <w:color w:val="000000"/>
                <w:sz w:val="21"/>
                <w:szCs w:val="21"/>
                <w:lang w:eastAsia="en-AU"/>
              </w:rPr>
            </w:pPr>
            <w:r w:rsidRPr="00B81639">
              <w:rPr>
                <w:color w:val="000000"/>
                <w:sz w:val="21"/>
                <w:szCs w:val="21"/>
                <w:lang w:eastAsia="en-AU"/>
              </w:rPr>
              <w:t>38 (31%)</w:t>
            </w:r>
          </w:p>
        </w:tc>
        <w:tc>
          <w:tcPr>
            <w:tcW w:w="1484" w:type="dxa"/>
            <w:tcBorders>
              <w:top w:val="single" w:sz="4" w:space="0" w:color="auto"/>
            </w:tcBorders>
            <w:shd w:val="clear" w:color="auto" w:fill="auto"/>
            <w:noWrap/>
            <w:vAlign w:val="bottom"/>
          </w:tcPr>
          <w:p w:rsidR="005B1350" w:rsidRPr="00B81639" w:rsidRDefault="005B1350" w:rsidP="00054651">
            <w:pPr>
              <w:jc w:val="right"/>
              <w:rPr>
                <w:color w:val="000000"/>
                <w:sz w:val="21"/>
                <w:szCs w:val="21"/>
                <w:lang w:eastAsia="en-AU"/>
              </w:rPr>
            </w:pPr>
            <w:r w:rsidRPr="00B81639">
              <w:rPr>
                <w:color w:val="000000"/>
                <w:sz w:val="21"/>
                <w:szCs w:val="21"/>
                <w:lang w:eastAsia="en-AU"/>
              </w:rPr>
              <w:t>64 (52%)</w:t>
            </w:r>
          </w:p>
        </w:tc>
        <w:tc>
          <w:tcPr>
            <w:tcW w:w="1484" w:type="dxa"/>
            <w:tcBorders>
              <w:top w:val="single" w:sz="4" w:space="0" w:color="auto"/>
            </w:tcBorders>
            <w:shd w:val="clear" w:color="auto" w:fill="auto"/>
            <w:noWrap/>
            <w:vAlign w:val="bottom"/>
          </w:tcPr>
          <w:p w:rsidR="005B1350" w:rsidRPr="00B81639" w:rsidRDefault="005B1350" w:rsidP="00054651">
            <w:pPr>
              <w:rPr>
                <w:color w:val="000000"/>
                <w:sz w:val="21"/>
                <w:szCs w:val="21"/>
                <w:lang w:eastAsia="en-AU"/>
              </w:rPr>
            </w:pPr>
            <w:r>
              <w:rPr>
                <w:color w:val="000000"/>
                <w:sz w:val="21"/>
                <w:szCs w:val="21"/>
                <w:lang w:eastAsia="en-AU"/>
              </w:rPr>
              <w:t>Dễ dàng</w:t>
            </w:r>
          </w:p>
        </w:tc>
      </w:tr>
      <w:tr w:rsidR="005B1350" w:rsidRPr="00B81639" w:rsidTr="0088357D">
        <w:trPr>
          <w:trHeight w:val="300"/>
          <w:jc w:val="center"/>
        </w:trPr>
        <w:tc>
          <w:tcPr>
            <w:tcW w:w="3407" w:type="dxa"/>
            <w:shd w:val="clear" w:color="auto" w:fill="auto"/>
            <w:noWrap/>
            <w:vAlign w:val="bottom"/>
            <w:hideMark/>
          </w:tcPr>
          <w:p w:rsidR="005B1350" w:rsidRPr="00B81639" w:rsidRDefault="005B1350" w:rsidP="0086091E">
            <w:pPr>
              <w:jc w:val="right"/>
              <w:rPr>
                <w:color w:val="000000"/>
                <w:sz w:val="21"/>
                <w:szCs w:val="21"/>
                <w:lang w:eastAsia="en-AU"/>
              </w:rPr>
            </w:pPr>
            <w:r>
              <w:rPr>
                <w:color w:val="000000"/>
                <w:sz w:val="21"/>
                <w:szCs w:val="21"/>
                <w:lang w:eastAsia="en-AU"/>
              </w:rPr>
              <w:t>Giấy chứng nhận quyền sử dụng đất</w:t>
            </w:r>
          </w:p>
        </w:tc>
        <w:tc>
          <w:tcPr>
            <w:tcW w:w="1417" w:type="dxa"/>
            <w:shd w:val="clear" w:color="auto" w:fill="auto"/>
            <w:noWrap/>
            <w:vAlign w:val="bottom"/>
          </w:tcPr>
          <w:p w:rsidR="005B1350" w:rsidRPr="00B81639" w:rsidRDefault="005B1350" w:rsidP="00054651">
            <w:pPr>
              <w:jc w:val="right"/>
              <w:rPr>
                <w:color w:val="000000"/>
                <w:sz w:val="21"/>
                <w:szCs w:val="21"/>
                <w:lang w:eastAsia="en-AU"/>
              </w:rPr>
            </w:pPr>
            <w:r w:rsidRPr="00B81639">
              <w:rPr>
                <w:color w:val="000000"/>
                <w:sz w:val="21"/>
                <w:szCs w:val="21"/>
                <w:lang w:eastAsia="en-AU"/>
              </w:rPr>
              <w:t>19 (15%)</w:t>
            </w:r>
          </w:p>
        </w:tc>
        <w:tc>
          <w:tcPr>
            <w:tcW w:w="1250" w:type="dxa"/>
            <w:shd w:val="clear" w:color="auto" w:fill="auto"/>
            <w:noWrap/>
            <w:vAlign w:val="bottom"/>
            <w:hideMark/>
          </w:tcPr>
          <w:p w:rsidR="005B1350" w:rsidRPr="00B81639" w:rsidRDefault="005B1350" w:rsidP="00054651">
            <w:pPr>
              <w:jc w:val="right"/>
              <w:rPr>
                <w:color w:val="000000"/>
                <w:sz w:val="21"/>
                <w:szCs w:val="21"/>
                <w:lang w:eastAsia="en-AU"/>
              </w:rPr>
            </w:pPr>
            <w:r w:rsidRPr="00B81639">
              <w:rPr>
                <w:color w:val="000000"/>
                <w:sz w:val="21"/>
                <w:szCs w:val="21"/>
                <w:lang w:eastAsia="en-AU"/>
              </w:rPr>
              <w:t>39 (31%)</w:t>
            </w:r>
          </w:p>
        </w:tc>
        <w:tc>
          <w:tcPr>
            <w:tcW w:w="1484" w:type="dxa"/>
            <w:shd w:val="clear" w:color="auto" w:fill="auto"/>
            <w:noWrap/>
            <w:vAlign w:val="bottom"/>
          </w:tcPr>
          <w:p w:rsidR="005B1350" w:rsidRPr="00B81639" w:rsidRDefault="005B1350" w:rsidP="00054651">
            <w:pPr>
              <w:jc w:val="right"/>
              <w:rPr>
                <w:color w:val="000000"/>
                <w:sz w:val="21"/>
                <w:szCs w:val="21"/>
                <w:lang w:eastAsia="en-AU"/>
              </w:rPr>
            </w:pPr>
            <w:r w:rsidRPr="00B81639">
              <w:rPr>
                <w:color w:val="000000"/>
                <w:sz w:val="21"/>
                <w:szCs w:val="21"/>
                <w:lang w:eastAsia="en-AU"/>
              </w:rPr>
              <w:t>64 (52%)</w:t>
            </w:r>
          </w:p>
        </w:tc>
        <w:tc>
          <w:tcPr>
            <w:tcW w:w="1484" w:type="dxa"/>
            <w:shd w:val="clear" w:color="auto" w:fill="auto"/>
            <w:noWrap/>
            <w:vAlign w:val="bottom"/>
          </w:tcPr>
          <w:p w:rsidR="005B1350" w:rsidRPr="00B81639" w:rsidRDefault="005B1350" w:rsidP="00054651">
            <w:pPr>
              <w:rPr>
                <w:color w:val="000000"/>
                <w:sz w:val="21"/>
                <w:szCs w:val="21"/>
                <w:lang w:eastAsia="en-AU"/>
              </w:rPr>
            </w:pPr>
            <w:r>
              <w:rPr>
                <w:color w:val="000000"/>
                <w:sz w:val="21"/>
                <w:szCs w:val="21"/>
                <w:lang w:eastAsia="en-AU"/>
              </w:rPr>
              <w:t>Dễ dàng</w:t>
            </w:r>
          </w:p>
        </w:tc>
      </w:tr>
      <w:tr w:rsidR="005B1350" w:rsidRPr="00B81639" w:rsidTr="0088357D">
        <w:trPr>
          <w:trHeight w:val="300"/>
          <w:jc w:val="center"/>
        </w:trPr>
        <w:tc>
          <w:tcPr>
            <w:tcW w:w="3407" w:type="dxa"/>
            <w:shd w:val="clear" w:color="auto" w:fill="auto"/>
            <w:noWrap/>
            <w:vAlign w:val="bottom"/>
            <w:hideMark/>
          </w:tcPr>
          <w:p w:rsidR="005B1350" w:rsidRPr="00B81639" w:rsidRDefault="005B1350" w:rsidP="0086091E">
            <w:pPr>
              <w:jc w:val="right"/>
              <w:rPr>
                <w:color w:val="000000"/>
                <w:sz w:val="21"/>
                <w:szCs w:val="21"/>
                <w:lang w:eastAsia="en-AU"/>
              </w:rPr>
            </w:pPr>
            <w:r>
              <w:rPr>
                <w:color w:val="000000"/>
                <w:sz w:val="21"/>
                <w:szCs w:val="21"/>
                <w:lang w:eastAsia="en-AU"/>
              </w:rPr>
              <w:t>Dịch vụ pháp lý liên quan đến đất đai</w:t>
            </w:r>
          </w:p>
        </w:tc>
        <w:tc>
          <w:tcPr>
            <w:tcW w:w="1417" w:type="dxa"/>
            <w:shd w:val="clear" w:color="auto" w:fill="auto"/>
            <w:noWrap/>
            <w:vAlign w:val="bottom"/>
          </w:tcPr>
          <w:p w:rsidR="005B1350" w:rsidRPr="00B81639" w:rsidRDefault="005B1350" w:rsidP="00054651">
            <w:pPr>
              <w:jc w:val="right"/>
              <w:rPr>
                <w:color w:val="000000"/>
                <w:sz w:val="21"/>
                <w:szCs w:val="21"/>
                <w:lang w:eastAsia="en-AU"/>
              </w:rPr>
            </w:pPr>
            <w:r w:rsidRPr="00B81639">
              <w:rPr>
                <w:color w:val="000000"/>
                <w:sz w:val="21"/>
                <w:szCs w:val="21"/>
                <w:lang w:eastAsia="en-AU"/>
              </w:rPr>
              <w:t>32 (26%)</w:t>
            </w:r>
          </w:p>
        </w:tc>
        <w:tc>
          <w:tcPr>
            <w:tcW w:w="1250" w:type="dxa"/>
            <w:shd w:val="clear" w:color="auto" w:fill="auto"/>
            <w:noWrap/>
            <w:vAlign w:val="bottom"/>
            <w:hideMark/>
          </w:tcPr>
          <w:p w:rsidR="005B1350" w:rsidRPr="00B81639" w:rsidRDefault="005B1350" w:rsidP="00054651">
            <w:pPr>
              <w:jc w:val="right"/>
              <w:rPr>
                <w:color w:val="000000"/>
                <w:sz w:val="21"/>
                <w:szCs w:val="21"/>
                <w:lang w:eastAsia="en-AU"/>
              </w:rPr>
            </w:pPr>
            <w:r w:rsidRPr="00B81639">
              <w:rPr>
                <w:color w:val="000000"/>
                <w:sz w:val="21"/>
                <w:szCs w:val="21"/>
                <w:lang w:eastAsia="en-AU"/>
              </w:rPr>
              <w:t>47 (38%)</w:t>
            </w:r>
          </w:p>
        </w:tc>
        <w:tc>
          <w:tcPr>
            <w:tcW w:w="1484" w:type="dxa"/>
            <w:shd w:val="clear" w:color="auto" w:fill="auto"/>
            <w:noWrap/>
            <w:vAlign w:val="bottom"/>
          </w:tcPr>
          <w:p w:rsidR="005B1350" w:rsidRPr="00B81639" w:rsidRDefault="005B1350" w:rsidP="00054651">
            <w:pPr>
              <w:jc w:val="right"/>
              <w:rPr>
                <w:color w:val="000000"/>
                <w:sz w:val="21"/>
                <w:szCs w:val="21"/>
                <w:lang w:eastAsia="en-AU"/>
              </w:rPr>
            </w:pPr>
            <w:r w:rsidRPr="00B81639">
              <w:rPr>
                <w:color w:val="000000"/>
                <w:sz w:val="21"/>
                <w:szCs w:val="21"/>
                <w:lang w:eastAsia="en-AU"/>
              </w:rPr>
              <w:t>43 (35%)</w:t>
            </w:r>
          </w:p>
        </w:tc>
        <w:tc>
          <w:tcPr>
            <w:tcW w:w="1484" w:type="dxa"/>
            <w:shd w:val="clear" w:color="auto" w:fill="auto"/>
            <w:noWrap/>
            <w:vAlign w:val="bottom"/>
          </w:tcPr>
          <w:p w:rsidR="005B1350" w:rsidRPr="00B81639" w:rsidRDefault="005B1350" w:rsidP="00054651">
            <w:pPr>
              <w:rPr>
                <w:color w:val="000000"/>
                <w:sz w:val="21"/>
                <w:szCs w:val="21"/>
                <w:lang w:eastAsia="en-AU"/>
              </w:rPr>
            </w:pPr>
            <w:r>
              <w:rPr>
                <w:color w:val="000000"/>
                <w:sz w:val="21"/>
                <w:szCs w:val="21"/>
                <w:lang w:eastAsia="en-AU"/>
              </w:rPr>
              <w:t>Trung bình</w:t>
            </w:r>
          </w:p>
        </w:tc>
      </w:tr>
      <w:tr w:rsidR="005B1350" w:rsidRPr="00B81639" w:rsidTr="0088357D">
        <w:trPr>
          <w:trHeight w:val="300"/>
          <w:jc w:val="center"/>
        </w:trPr>
        <w:tc>
          <w:tcPr>
            <w:tcW w:w="3407" w:type="dxa"/>
            <w:shd w:val="clear" w:color="auto" w:fill="auto"/>
            <w:noWrap/>
            <w:vAlign w:val="bottom"/>
            <w:hideMark/>
          </w:tcPr>
          <w:p w:rsidR="005B1350" w:rsidRPr="00B81639" w:rsidRDefault="005B1350" w:rsidP="0086091E">
            <w:pPr>
              <w:jc w:val="right"/>
              <w:rPr>
                <w:color w:val="000000"/>
                <w:sz w:val="21"/>
                <w:szCs w:val="21"/>
                <w:lang w:eastAsia="en-AU"/>
              </w:rPr>
            </w:pPr>
            <w:r>
              <w:rPr>
                <w:color w:val="000000"/>
                <w:sz w:val="21"/>
                <w:szCs w:val="21"/>
                <w:lang w:eastAsia="en-AU"/>
              </w:rPr>
              <w:t>Chính sách pháp luật đất đai</w:t>
            </w:r>
          </w:p>
        </w:tc>
        <w:tc>
          <w:tcPr>
            <w:tcW w:w="1417" w:type="dxa"/>
            <w:shd w:val="clear" w:color="auto" w:fill="auto"/>
            <w:noWrap/>
            <w:vAlign w:val="bottom"/>
          </w:tcPr>
          <w:p w:rsidR="005B1350" w:rsidRPr="00B81639" w:rsidRDefault="005B1350" w:rsidP="00054651">
            <w:pPr>
              <w:jc w:val="right"/>
              <w:rPr>
                <w:color w:val="000000"/>
                <w:sz w:val="21"/>
                <w:szCs w:val="21"/>
                <w:lang w:eastAsia="en-AU"/>
              </w:rPr>
            </w:pPr>
            <w:r w:rsidRPr="00B81639">
              <w:rPr>
                <w:color w:val="000000"/>
                <w:sz w:val="21"/>
                <w:szCs w:val="21"/>
                <w:lang w:eastAsia="en-AU"/>
              </w:rPr>
              <w:t>51 (41%)</w:t>
            </w:r>
          </w:p>
        </w:tc>
        <w:tc>
          <w:tcPr>
            <w:tcW w:w="1250" w:type="dxa"/>
            <w:shd w:val="clear" w:color="auto" w:fill="auto"/>
            <w:noWrap/>
            <w:vAlign w:val="bottom"/>
            <w:hideMark/>
          </w:tcPr>
          <w:p w:rsidR="005B1350" w:rsidRPr="00B81639" w:rsidRDefault="005B1350" w:rsidP="00054651">
            <w:pPr>
              <w:jc w:val="right"/>
              <w:rPr>
                <w:color w:val="000000"/>
                <w:sz w:val="21"/>
                <w:szCs w:val="21"/>
                <w:lang w:eastAsia="en-AU"/>
              </w:rPr>
            </w:pPr>
            <w:r w:rsidRPr="00B81639">
              <w:rPr>
                <w:color w:val="000000"/>
                <w:sz w:val="21"/>
                <w:szCs w:val="21"/>
                <w:lang w:eastAsia="en-AU"/>
              </w:rPr>
              <w:t>38 (31%)</w:t>
            </w:r>
          </w:p>
        </w:tc>
        <w:tc>
          <w:tcPr>
            <w:tcW w:w="1484" w:type="dxa"/>
            <w:shd w:val="clear" w:color="auto" w:fill="auto"/>
            <w:noWrap/>
            <w:vAlign w:val="bottom"/>
          </w:tcPr>
          <w:p w:rsidR="005B1350" w:rsidRPr="00B81639" w:rsidRDefault="005B1350" w:rsidP="00054651">
            <w:pPr>
              <w:jc w:val="right"/>
              <w:rPr>
                <w:color w:val="000000"/>
                <w:sz w:val="21"/>
                <w:szCs w:val="21"/>
                <w:lang w:eastAsia="en-AU"/>
              </w:rPr>
            </w:pPr>
            <w:r w:rsidRPr="00B81639">
              <w:rPr>
                <w:color w:val="000000"/>
                <w:sz w:val="21"/>
                <w:szCs w:val="21"/>
                <w:lang w:eastAsia="en-AU"/>
              </w:rPr>
              <w:t>33 (27%)</w:t>
            </w:r>
          </w:p>
        </w:tc>
        <w:tc>
          <w:tcPr>
            <w:tcW w:w="1484" w:type="dxa"/>
            <w:shd w:val="clear" w:color="auto" w:fill="auto"/>
            <w:noWrap/>
            <w:vAlign w:val="bottom"/>
          </w:tcPr>
          <w:p w:rsidR="005B1350" w:rsidRPr="00B81639" w:rsidRDefault="005B1350" w:rsidP="00054651">
            <w:pPr>
              <w:rPr>
                <w:color w:val="000000"/>
                <w:sz w:val="21"/>
                <w:szCs w:val="21"/>
                <w:lang w:eastAsia="en-AU"/>
              </w:rPr>
            </w:pPr>
            <w:r>
              <w:rPr>
                <w:color w:val="000000"/>
                <w:sz w:val="21"/>
                <w:szCs w:val="21"/>
                <w:lang w:eastAsia="en-AU"/>
              </w:rPr>
              <w:t>Khó truy cập</w:t>
            </w:r>
          </w:p>
        </w:tc>
      </w:tr>
    </w:tbl>
    <w:p w:rsidR="005B1350" w:rsidRDefault="005B1350" w:rsidP="00054651">
      <w:pPr>
        <w:pStyle w:val="BodyText"/>
        <w:jc w:val="both"/>
        <w:rPr>
          <w:lang w:val="en-US"/>
        </w:rPr>
      </w:pPr>
    </w:p>
    <w:p w:rsidR="005B1350" w:rsidRPr="00266CE2" w:rsidRDefault="005B1350" w:rsidP="00054651">
      <w:pPr>
        <w:pStyle w:val="BodyText"/>
        <w:jc w:val="both"/>
        <w:rPr>
          <w:sz w:val="26"/>
          <w:szCs w:val="26"/>
          <w:lang w:val="en-US"/>
        </w:rPr>
      </w:pPr>
      <w:r w:rsidRPr="00266CE2">
        <w:rPr>
          <w:sz w:val="26"/>
          <w:szCs w:val="26"/>
          <w:lang w:val="en-US"/>
        </w:rPr>
        <w:t>Việc tiếp cận các thủ tục hành chính về đất đai và GCNQSDĐ đã dễ dàng hơn các loại thông tin khác. Hơn một nửa số người tham gia (52%) thừa nhận đã dễ dàng tiếp cận được hai loại thông tin cơ bản này. Tuy nhiên, người dân ở cấp cơ sở vẫn còn gặp khó khăn trong việc tiếp cận thông tin về chính sách, pháp luật đất đai.</w:t>
      </w:r>
    </w:p>
    <w:p w:rsidR="005B1350" w:rsidRPr="00266CE2" w:rsidRDefault="005B1350" w:rsidP="00054651">
      <w:pPr>
        <w:pStyle w:val="BodyText"/>
        <w:jc w:val="both"/>
        <w:rPr>
          <w:sz w:val="26"/>
          <w:szCs w:val="26"/>
          <w:lang w:val="en-US"/>
        </w:rPr>
      </w:pPr>
    </w:p>
    <w:p w:rsidR="005B1350" w:rsidRPr="00B81639" w:rsidRDefault="005B1350" w:rsidP="00054651">
      <w:pPr>
        <w:pStyle w:val="BodyText"/>
        <w:jc w:val="both"/>
        <w:rPr>
          <w:b/>
          <w:sz w:val="22"/>
          <w:lang w:val="en-US"/>
        </w:rPr>
      </w:pPr>
      <w:r>
        <w:rPr>
          <w:b/>
          <w:sz w:val="22"/>
          <w:lang w:val="en-US"/>
        </w:rPr>
        <w:t>Bảng</w:t>
      </w:r>
      <w:r w:rsidRPr="00B81639">
        <w:rPr>
          <w:b/>
          <w:sz w:val="22"/>
          <w:lang w:val="en-US"/>
        </w:rPr>
        <w:t xml:space="preserve"> </w:t>
      </w:r>
      <w:r>
        <w:rPr>
          <w:b/>
          <w:sz w:val="22"/>
          <w:lang w:val="en-US"/>
        </w:rPr>
        <w:t>8</w:t>
      </w:r>
      <w:r w:rsidRPr="00B81639">
        <w:rPr>
          <w:b/>
          <w:sz w:val="22"/>
          <w:lang w:val="en-US"/>
        </w:rPr>
        <w:t xml:space="preserve">: </w:t>
      </w:r>
      <w:r w:rsidR="0088357D">
        <w:rPr>
          <w:b/>
          <w:sz w:val="22"/>
          <w:lang w:val="en-US"/>
        </w:rPr>
        <w:t>Mức độ t</w:t>
      </w:r>
      <w:r>
        <w:rPr>
          <w:b/>
          <w:sz w:val="22"/>
          <w:lang w:val="en-US"/>
        </w:rPr>
        <w:t>iếp cận hồ sơ đất đai</w:t>
      </w:r>
    </w:p>
    <w:tbl>
      <w:tblPr>
        <w:tblW w:w="9031" w:type="dxa"/>
        <w:jc w:val="center"/>
        <w:tblBorders>
          <w:top w:val="single" w:sz="4" w:space="0" w:color="auto"/>
          <w:bottom w:val="single" w:sz="4" w:space="0" w:color="auto"/>
        </w:tblBorders>
        <w:tblLayout w:type="fixed"/>
        <w:tblLook w:val="04A0" w:firstRow="1" w:lastRow="0" w:firstColumn="1" w:lastColumn="0" w:noHBand="0" w:noVBand="1"/>
      </w:tblPr>
      <w:tblGrid>
        <w:gridCol w:w="3119"/>
        <w:gridCol w:w="992"/>
        <w:gridCol w:w="850"/>
        <w:gridCol w:w="1276"/>
        <w:gridCol w:w="851"/>
        <w:gridCol w:w="850"/>
        <w:gridCol w:w="1093"/>
      </w:tblGrid>
      <w:tr w:rsidR="005B1350" w:rsidRPr="007E0755" w:rsidTr="0088357D">
        <w:trPr>
          <w:trHeight w:val="300"/>
          <w:tblHeader/>
          <w:jc w:val="center"/>
        </w:trPr>
        <w:tc>
          <w:tcPr>
            <w:tcW w:w="3119" w:type="dxa"/>
            <w:tcBorders>
              <w:top w:val="single" w:sz="4" w:space="0" w:color="auto"/>
              <w:bottom w:val="single" w:sz="4" w:space="0" w:color="auto"/>
            </w:tcBorders>
            <w:shd w:val="clear" w:color="auto" w:fill="auto"/>
            <w:noWrap/>
            <w:vAlign w:val="center"/>
          </w:tcPr>
          <w:p w:rsidR="005B1350" w:rsidRPr="007E0755" w:rsidRDefault="005B1350" w:rsidP="0086091E">
            <w:pPr>
              <w:contextualSpacing/>
              <w:jc w:val="center"/>
              <w:rPr>
                <w:b/>
                <w:color w:val="000000"/>
                <w:sz w:val="21"/>
                <w:szCs w:val="21"/>
                <w:lang w:eastAsia="en-AU"/>
              </w:rPr>
            </w:pPr>
            <w:r>
              <w:rPr>
                <w:b/>
                <w:color w:val="000000"/>
                <w:sz w:val="21"/>
                <w:szCs w:val="21"/>
                <w:lang w:eastAsia="en-AU"/>
              </w:rPr>
              <w:t>Hồ sơ đất đai</w:t>
            </w:r>
          </w:p>
        </w:tc>
        <w:tc>
          <w:tcPr>
            <w:tcW w:w="992" w:type="dxa"/>
            <w:tcBorders>
              <w:top w:val="single" w:sz="4" w:space="0" w:color="auto"/>
              <w:bottom w:val="single" w:sz="4" w:space="0" w:color="auto"/>
            </w:tcBorders>
            <w:shd w:val="clear" w:color="auto" w:fill="auto"/>
            <w:noWrap/>
            <w:vAlign w:val="center"/>
          </w:tcPr>
          <w:p w:rsidR="005B1350" w:rsidRPr="007E0755" w:rsidRDefault="005B1350" w:rsidP="00054651">
            <w:pPr>
              <w:contextualSpacing/>
              <w:jc w:val="center"/>
              <w:rPr>
                <w:b/>
                <w:sz w:val="21"/>
                <w:szCs w:val="21"/>
              </w:rPr>
            </w:pPr>
            <w:r>
              <w:rPr>
                <w:b/>
                <w:sz w:val="21"/>
                <w:szCs w:val="21"/>
              </w:rPr>
              <w:t>Rất khó</w:t>
            </w:r>
          </w:p>
        </w:tc>
        <w:tc>
          <w:tcPr>
            <w:tcW w:w="850" w:type="dxa"/>
            <w:tcBorders>
              <w:top w:val="single" w:sz="4" w:space="0" w:color="auto"/>
              <w:bottom w:val="single" w:sz="4" w:space="0" w:color="auto"/>
            </w:tcBorders>
            <w:shd w:val="clear" w:color="auto" w:fill="auto"/>
            <w:noWrap/>
            <w:vAlign w:val="center"/>
          </w:tcPr>
          <w:p w:rsidR="005B1350" w:rsidRPr="007E0755" w:rsidRDefault="005B1350" w:rsidP="00054651">
            <w:pPr>
              <w:contextualSpacing/>
              <w:jc w:val="center"/>
              <w:rPr>
                <w:b/>
                <w:sz w:val="21"/>
                <w:szCs w:val="21"/>
              </w:rPr>
            </w:pPr>
            <w:r>
              <w:rPr>
                <w:b/>
                <w:sz w:val="21"/>
                <w:szCs w:val="21"/>
              </w:rPr>
              <w:t>Khó</w:t>
            </w:r>
          </w:p>
        </w:tc>
        <w:tc>
          <w:tcPr>
            <w:tcW w:w="1276" w:type="dxa"/>
            <w:tcBorders>
              <w:top w:val="single" w:sz="4" w:space="0" w:color="auto"/>
              <w:bottom w:val="single" w:sz="4" w:space="0" w:color="auto"/>
            </w:tcBorders>
            <w:shd w:val="clear" w:color="auto" w:fill="auto"/>
            <w:noWrap/>
            <w:vAlign w:val="center"/>
          </w:tcPr>
          <w:p w:rsidR="005B1350" w:rsidRPr="007E0755" w:rsidRDefault="005B1350" w:rsidP="00054651">
            <w:pPr>
              <w:contextualSpacing/>
              <w:jc w:val="center"/>
              <w:rPr>
                <w:b/>
                <w:sz w:val="21"/>
                <w:szCs w:val="21"/>
              </w:rPr>
            </w:pPr>
            <w:r>
              <w:rPr>
                <w:b/>
                <w:sz w:val="21"/>
                <w:szCs w:val="21"/>
              </w:rPr>
              <w:t>Trung bình</w:t>
            </w:r>
          </w:p>
        </w:tc>
        <w:tc>
          <w:tcPr>
            <w:tcW w:w="851" w:type="dxa"/>
            <w:tcBorders>
              <w:top w:val="single" w:sz="4" w:space="0" w:color="auto"/>
              <w:bottom w:val="single" w:sz="4" w:space="0" w:color="auto"/>
            </w:tcBorders>
            <w:shd w:val="clear" w:color="auto" w:fill="auto"/>
            <w:noWrap/>
            <w:vAlign w:val="center"/>
          </w:tcPr>
          <w:p w:rsidR="005B1350" w:rsidRPr="007E0755" w:rsidRDefault="005B1350" w:rsidP="00054651">
            <w:pPr>
              <w:contextualSpacing/>
              <w:jc w:val="center"/>
              <w:rPr>
                <w:b/>
                <w:sz w:val="21"/>
                <w:szCs w:val="21"/>
              </w:rPr>
            </w:pPr>
            <w:r>
              <w:rPr>
                <w:b/>
                <w:sz w:val="21"/>
                <w:szCs w:val="21"/>
              </w:rPr>
              <w:t>Dễ</w:t>
            </w:r>
          </w:p>
        </w:tc>
        <w:tc>
          <w:tcPr>
            <w:tcW w:w="850" w:type="dxa"/>
            <w:tcBorders>
              <w:top w:val="single" w:sz="4" w:space="0" w:color="auto"/>
              <w:bottom w:val="single" w:sz="4" w:space="0" w:color="auto"/>
            </w:tcBorders>
            <w:shd w:val="clear" w:color="auto" w:fill="auto"/>
            <w:noWrap/>
            <w:vAlign w:val="center"/>
          </w:tcPr>
          <w:p w:rsidR="005B1350" w:rsidRPr="007E0755" w:rsidRDefault="005B1350" w:rsidP="00054651">
            <w:pPr>
              <w:contextualSpacing/>
              <w:jc w:val="center"/>
              <w:rPr>
                <w:b/>
                <w:sz w:val="21"/>
                <w:szCs w:val="21"/>
              </w:rPr>
            </w:pPr>
            <w:r>
              <w:rPr>
                <w:b/>
                <w:sz w:val="21"/>
                <w:szCs w:val="21"/>
              </w:rPr>
              <w:t>Rất dễ</w:t>
            </w:r>
          </w:p>
        </w:tc>
        <w:tc>
          <w:tcPr>
            <w:tcW w:w="1093" w:type="dxa"/>
            <w:tcBorders>
              <w:top w:val="single" w:sz="4" w:space="0" w:color="auto"/>
              <w:bottom w:val="single" w:sz="4" w:space="0" w:color="auto"/>
            </w:tcBorders>
            <w:shd w:val="clear" w:color="auto" w:fill="auto"/>
            <w:noWrap/>
            <w:vAlign w:val="center"/>
          </w:tcPr>
          <w:p w:rsidR="005B1350" w:rsidRPr="007E0755" w:rsidRDefault="005B1350" w:rsidP="00054651">
            <w:pPr>
              <w:contextualSpacing/>
              <w:jc w:val="center"/>
              <w:rPr>
                <w:b/>
                <w:color w:val="000000"/>
                <w:sz w:val="21"/>
                <w:szCs w:val="21"/>
                <w:lang w:eastAsia="en-AU"/>
              </w:rPr>
            </w:pPr>
            <w:r>
              <w:rPr>
                <w:b/>
                <w:color w:val="000000"/>
                <w:sz w:val="21"/>
                <w:szCs w:val="21"/>
                <w:lang w:eastAsia="en-AU"/>
              </w:rPr>
              <w:t>Tổng hợp</w:t>
            </w:r>
          </w:p>
        </w:tc>
      </w:tr>
      <w:tr w:rsidR="005B1350" w:rsidRPr="00B81639" w:rsidTr="0088357D">
        <w:trPr>
          <w:trHeight w:val="300"/>
          <w:jc w:val="center"/>
        </w:trPr>
        <w:tc>
          <w:tcPr>
            <w:tcW w:w="3119" w:type="dxa"/>
            <w:tcBorders>
              <w:top w:val="single" w:sz="4" w:space="0" w:color="auto"/>
            </w:tcBorders>
            <w:shd w:val="clear" w:color="auto" w:fill="auto"/>
            <w:noWrap/>
            <w:vAlign w:val="center"/>
            <w:hideMark/>
          </w:tcPr>
          <w:p w:rsidR="005B1350" w:rsidRPr="00B81639" w:rsidRDefault="005B1350" w:rsidP="0088357D">
            <w:pPr>
              <w:contextualSpacing/>
              <w:jc w:val="right"/>
              <w:rPr>
                <w:color w:val="000000"/>
                <w:sz w:val="21"/>
                <w:szCs w:val="21"/>
                <w:lang w:eastAsia="en-AU"/>
              </w:rPr>
            </w:pPr>
            <w:r>
              <w:rPr>
                <w:color w:val="000000"/>
                <w:sz w:val="21"/>
                <w:szCs w:val="21"/>
                <w:lang w:eastAsia="en-AU"/>
              </w:rPr>
              <w:t xml:space="preserve">Giấy </w:t>
            </w:r>
            <w:r w:rsidR="0088357D">
              <w:rPr>
                <w:color w:val="000000"/>
                <w:sz w:val="21"/>
                <w:szCs w:val="21"/>
                <w:lang w:eastAsia="en-AU"/>
              </w:rPr>
              <w:t>GCNQSDĐ</w:t>
            </w:r>
          </w:p>
        </w:tc>
        <w:tc>
          <w:tcPr>
            <w:tcW w:w="992" w:type="dxa"/>
            <w:tcBorders>
              <w:top w:val="single" w:sz="4" w:space="0" w:color="auto"/>
            </w:tcBorders>
            <w:shd w:val="clear" w:color="auto" w:fill="auto"/>
            <w:noWrap/>
            <w:vAlign w:val="center"/>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9</w:t>
            </w:r>
          </w:p>
        </w:tc>
        <w:tc>
          <w:tcPr>
            <w:tcW w:w="850" w:type="dxa"/>
            <w:tcBorders>
              <w:top w:val="single" w:sz="4" w:space="0" w:color="auto"/>
            </w:tcBorders>
            <w:shd w:val="clear" w:color="auto" w:fill="auto"/>
            <w:noWrap/>
            <w:vAlign w:val="center"/>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11</w:t>
            </w:r>
          </w:p>
        </w:tc>
        <w:tc>
          <w:tcPr>
            <w:tcW w:w="1276" w:type="dxa"/>
            <w:tcBorders>
              <w:top w:val="single" w:sz="4" w:space="0" w:color="auto"/>
            </w:tcBorders>
            <w:shd w:val="clear" w:color="auto" w:fill="auto"/>
            <w:noWrap/>
            <w:vAlign w:val="center"/>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24</w:t>
            </w:r>
          </w:p>
        </w:tc>
        <w:tc>
          <w:tcPr>
            <w:tcW w:w="851" w:type="dxa"/>
            <w:tcBorders>
              <w:top w:val="single" w:sz="4" w:space="0" w:color="auto"/>
            </w:tcBorders>
            <w:shd w:val="clear" w:color="auto" w:fill="auto"/>
            <w:noWrap/>
            <w:vAlign w:val="center"/>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33</w:t>
            </w:r>
          </w:p>
        </w:tc>
        <w:tc>
          <w:tcPr>
            <w:tcW w:w="850" w:type="dxa"/>
            <w:tcBorders>
              <w:top w:val="single" w:sz="4" w:space="0" w:color="auto"/>
            </w:tcBorders>
            <w:shd w:val="clear" w:color="auto" w:fill="auto"/>
            <w:noWrap/>
            <w:vAlign w:val="center"/>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45</w:t>
            </w:r>
          </w:p>
        </w:tc>
        <w:tc>
          <w:tcPr>
            <w:tcW w:w="1093" w:type="dxa"/>
            <w:tcBorders>
              <w:top w:val="single" w:sz="4" w:space="0" w:color="auto"/>
            </w:tcBorders>
            <w:shd w:val="clear" w:color="auto" w:fill="auto"/>
            <w:noWrap/>
            <w:vAlign w:val="center"/>
            <w:hideMark/>
          </w:tcPr>
          <w:p w:rsidR="005B1350" w:rsidRPr="00B81639" w:rsidRDefault="005B1350" w:rsidP="0088357D">
            <w:pPr>
              <w:contextualSpacing/>
              <w:jc w:val="center"/>
              <w:rPr>
                <w:color w:val="000000"/>
                <w:sz w:val="21"/>
                <w:szCs w:val="21"/>
                <w:lang w:eastAsia="en-AU"/>
              </w:rPr>
            </w:pPr>
            <w:r w:rsidRPr="00B81639">
              <w:rPr>
                <w:color w:val="000000"/>
                <w:sz w:val="21"/>
                <w:szCs w:val="21"/>
                <w:lang w:eastAsia="en-AU"/>
              </w:rPr>
              <w:t>3.77</w:t>
            </w:r>
            <w:r w:rsidR="0088357D">
              <w:rPr>
                <w:color w:val="000000"/>
                <w:sz w:val="21"/>
                <w:szCs w:val="21"/>
                <w:lang w:eastAsia="en-AU"/>
              </w:rPr>
              <w:t>/5</w:t>
            </w:r>
          </w:p>
        </w:tc>
      </w:tr>
      <w:tr w:rsidR="005B1350" w:rsidRPr="00B81639" w:rsidTr="0088357D">
        <w:trPr>
          <w:trHeight w:val="300"/>
          <w:jc w:val="center"/>
        </w:trPr>
        <w:tc>
          <w:tcPr>
            <w:tcW w:w="3119" w:type="dxa"/>
            <w:shd w:val="clear" w:color="auto" w:fill="auto"/>
            <w:noWrap/>
            <w:vAlign w:val="center"/>
            <w:hideMark/>
          </w:tcPr>
          <w:p w:rsidR="005B1350" w:rsidRPr="00B81639" w:rsidRDefault="005B1350" w:rsidP="0088357D">
            <w:pPr>
              <w:contextualSpacing/>
              <w:jc w:val="right"/>
              <w:rPr>
                <w:color w:val="000000"/>
                <w:sz w:val="21"/>
                <w:szCs w:val="21"/>
                <w:lang w:eastAsia="en-AU"/>
              </w:rPr>
            </w:pPr>
            <w:r>
              <w:rPr>
                <w:color w:val="000000"/>
                <w:sz w:val="21"/>
                <w:szCs w:val="21"/>
                <w:lang w:eastAsia="en-AU"/>
              </w:rPr>
              <w:t>Bản đồ địa chính</w:t>
            </w:r>
            <w:r w:rsidRPr="00B81639">
              <w:rPr>
                <w:color w:val="000000"/>
                <w:sz w:val="21"/>
                <w:szCs w:val="21"/>
                <w:lang w:eastAsia="en-AU"/>
              </w:rPr>
              <w:t xml:space="preserve">/ </w:t>
            </w:r>
            <w:r>
              <w:rPr>
                <w:color w:val="000000"/>
                <w:sz w:val="21"/>
                <w:szCs w:val="21"/>
                <w:lang w:eastAsia="en-AU"/>
              </w:rPr>
              <w:t>sơ đồ kỹ thuật</w:t>
            </w:r>
          </w:p>
        </w:tc>
        <w:tc>
          <w:tcPr>
            <w:tcW w:w="992" w:type="dxa"/>
            <w:shd w:val="clear" w:color="auto" w:fill="auto"/>
            <w:noWrap/>
            <w:vAlign w:val="center"/>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25</w:t>
            </w:r>
          </w:p>
        </w:tc>
        <w:tc>
          <w:tcPr>
            <w:tcW w:w="850" w:type="dxa"/>
            <w:shd w:val="clear" w:color="auto" w:fill="auto"/>
            <w:noWrap/>
            <w:vAlign w:val="center"/>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33</w:t>
            </w:r>
          </w:p>
        </w:tc>
        <w:tc>
          <w:tcPr>
            <w:tcW w:w="1276" w:type="dxa"/>
            <w:shd w:val="clear" w:color="auto" w:fill="auto"/>
            <w:noWrap/>
            <w:vAlign w:val="center"/>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39</w:t>
            </w:r>
          </w:p>
        </w:tc>
        <w:tc>
          <w:tcPr>
            <w:tcW w:w="851" w:type="dxa"/>
            <w:shd w:val="clear" w:color="auto" w:fill="auto"/>
            <w:noWrap/>
            <w:vAlign w:val="center"/>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15</w:t>
            </w:r>
          </w:p>
        </w:tc>
        <w:tc>
          <w:tcPr>
            <w:tcW w:w="850" w:type="dxa"/>
            <w:shd w:val="clear" w:color="auto" w:fill="auto"/>
            <w:noWrap/>
            <w:vAlign w:val="center"/>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10</w:t>
            </w:r>
          </w:p>
        </w:tc>
        <w:tc>
          <w:tcPr>
            <w:tcW w:w="1093" w:type="dxa"/>
            <w:shd w:val="clear" w:color="auto" w:fill="auto"/>
            <w:noWrap/>
            <w:vAlign w:val="center"/>
            <w:hideMark/>
          </w:tcPr>
          <w:p w:rsidR="005B1350" w:rsidRPr="00B81639" w:rsidRDefault="005B1350" w:rsidP="0088357D">
            <w:pPr>
              <w:contextualSpacing/>
              <w:jc w:val="center"/>
              <w:rPr>
                <w:color w:val="000000"/>
                <w:sz w:val="21"/>
                <w:szCs w:val="21"/>
                <w:lang w:eastAsia="en-AU"/>
              </w:rPr>
            </w:pPr>
            <w:r w:rsidRPr="00B81639">
              <w:rPr>
                <w:color w:val="000000"/>
                <w:sz w:val="21"/>
                <w:szCs w:val="21"/>
                <w:lang w:eastAsia="en-AU"/>
              </w:rPr>
              <w:t>2.61</w:t>
            </w:r>
            <w:r w:rsidR="0088357D">
              <w:rPr>
                <w:color w:val="000000"/>
                <w:sz w:val="21"/>
                <w:szCs w:val="21"/>
                <w:lang w:eastAsia="en-AU"/>
              </w:rPr>
              <w:t>/5</w:t>
            </w:r>
          </w:p>
        </w:tc>
      </w:tr>
      <w:tr w:rsidR="005B1350" w:rsidRPr="00B81639" w:rsidTr="0088357D">
        <w:trPr>
          <w:trHeight w:val="300"/>
          <w:jc w:val="center"/>
        </w:trPr>
        <w:tc>
          <w:tcPr>
            <w:tcW w:w="3119" w:type="dxa"/>
            <w:shd w:val="clear" w:color="auto" w:fill="auto"/>
            <w:noWrap/>
            <w:vAlign w:val="center"/>
            <w:hideMark/>
          </w:tcPr>
          <w:p w:rsidR="005B1350" w:rsidRPr="00B81639" w:rsidRDefault="005B1350" w:rsidP="0088357D">
            <w:pPr>
              <w:contextualSpacing/>
              <w:jc w:val="right"/>
              <w:rPr>
                <w:color w:val="000000"/>
                <w:sz w:val="21"/>
                <w:szCs w:val="21"/>
                <w:lang w:eastAsia="en-AU"/>
              </w:rPr>
            </w:pPr>
            <w:r>
              <w:rPr>
                <w:color w:val="000000"/>
                <w:sz w:val="21"/>
                <w:szCs w:val="21"/>
                <w:lang w:eastAsia="en-AU"/>
              </w:rPr>
              <w:t>Tài liệu quy hoạch sử dụng đất</w:t>
            </w:r>
          </w:p>
        </w:tc>
        <w:tc>
          <w:tcPr>
            <w:tcW w:w="992" w:type="dxa"/>
            <w:shd w:val="clear" w:color="auto" w:fill="auto"/>
            <w:noWrap/>
            <w:vAlign w:val="center"/>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23</w:t>
            </w:r>
          </w:p>
        </w:tc>
        <w:tc>
          <w:tcPr>
            <w:tcW w:w="850" w:type="dxa"/>
            <w:shd w:val="clear" w:color="auto" w:fill="auto"/>
            <w:noWrap/>
            <w:vAlign w:val="center"/>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22</w:t>
            </w:r>
          </w:p>
        </w:tc>
        <w:tc>
          <w:tcPr>
            <w:tcW w:w="1276" w:type="dxa"/>
            <w:shd w:val="clear" w:color="auto" w:fill="auto"/>
            <w:noWrap/>
            <w:vAlign w:val="center"/>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40</w:t>
            </w:r>
          </w:p>
        </w:tc>
        <w:tc>
          <w:tcPr>
            <w:tcW w:w="851" w:type="dxa"/>
            <w:shd w:val="clear" w:color="auto" w:fill="auto"/>
            <w:noWrap/>
            <w:vAlign w:val="center"/>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23</w:t>
            </w:r>
          </w:p>
        </w:tc>
        <w:tc>
          <w:tcPr>
            <w:tcW w:w="850" w:type="dxa"/>
            <w:shd w:val="clear" w:color="auto" w:fill="auto"/>
            <w:noWrap/>
            <w:vAlign w:val="center"/>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14</w:t>
            </w:r>
          </w:p>
        </w:tc>
        <w:tc>
          <w:tcPr>
            <w:tcW w:w="1093" w:type="dxa"/>
            <w:shd w:val="clear" w:color="auto" w:fill="auto"/>
            <w:noWrap/>
            <w:vAlign w:val="center"/>
            <w:hideMark/>
          </w:tcPr>
          <w:p w:rsidR="005B1350" w:rsidRPr="00B81639" w:rsidRDefault="005B1350" w:rsidP="0088357D">
            <w:pPr>
              <w:contextualSpacing/>
              <w:jc w:val="center"/>
              <w:rPr>
                <w:color w:val="000000"/>
                <w:sz w:val="21"/>
                <w:szCs w:val="21"/>
                <w:lang w:eastAsia="en-AU"/>
              </w:rPr>
            </w:pPr>
            <w:r w:rsidRPr="00B81639">
              <w:rPr>
                <w:color w:val="000000"/>
                <w:sz w:val="21"/>
                <w:szCs w:val="21"/>
                <w:lang w:eastAsia="en-AU"/>
              </w:rPr>
              <w:t>2.86</w:t>
            </w:r>
            <w:r w:rsidR="0088357D">
              <w:rPr>
                <w:color w:val="000000"/>
                <w:sz w:val="21"/>
                <w:szCs w:val="21"/>
                <w:lang w:eastAsia="en-AU"/>
              </w:rPr>
              <w:t>/5</w:t>
            </w:r>
          </w:p>
        </w:tc>
      </w:tr>
      <w:tr w:rsidR="005B1350" w:rsidRPr="00B81639" w:rsidTr="0088357D">
        <w:trPr>
          <w:trHeight w:val="300"/>
          <w:jc w:val="center"/>
        </w:trPr>
        <w:tc>
          <w:tcPr>
            <w:tcW w:w="3119" w:type="dxa"/>
            <w:shd w:val="clear" w:color="auto" w:fill="auto"/>
            <w:noWrap/>
            <w:vAlign w:val="center"/>
            <w:hideMark/>
          </w:tcPr>
          <w:p w:rsidR="005B1350" w:rsidRPr="00B81639" w:rsidRDefault="005B1350" w:rsidP="0088357D">
            <w:pPr>
              <w:contextualSpacing/>
              <w:jc w:val="right"/>
              <w:rPr>
                <w:color w:val="000000"/>
                <w:sz w:val="21"/>
                <w:szCs w:val="21"/>
                <w:lang w:eastAsia="en-AU"/>
              </w:rPr>
            </w:pPr>
            <w:r>
              <w:rPr>
                <w:color w:val="000000"/>
                <w:sz w:val="21"/>
                <w:szCs w:val="21"/>
                <w:lang w:eastAsia="en-AU"/>
              </w:rPr>
              <w:t>Thông tin giá đất</w:t>
            </w:r>
          </w:p>
        </w:tc>
        <w:tc>
          <w:tcPr>
            <w:tcW w:w="992" w:type="dxa"/>
            <w:shd w:val="clear" w:color="auto" w:fill="auto"/>
            <w:noWrap/>
            <w:vAlign w:val="center"/>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32</w:t>
            </w:r>
          </w:p>
        </w:tc>
        <w:tc>
          <w:tcPr>
            <w:tcW w:w="850" w:type="dxa"/>
            <w:shd w:val="clear" w:color="auto" w:fill="auto"/>
            <w:noWrap/>
            <w:vAlign w:val="center"/>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21</w:t>
            </w:r>
          </w:p>
        </w:tc>
        <w:tc>
          <w:tcPr>
            <w:tcW w:w="1276" w:type="dxa"/>
            <w:shd w:val="clear" w:color="auto" w:fill="auto"/>
            <w:noWrap/>
            <w:vAlign w:val="center"/>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33</w:t>
            </w:r>
          </w:p>
        </w:tc>
        <w:tc>
          <w:tcPr>
            <w:tcW w:w="851" w:type="dxa"/>
            <w:shd w:val="clear" w:color="auto" w:fill="auto"/>
            <w:noWrap/>
            <w:vAlign w:val="center"/>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15</w:t>
            </w:r>
          </w:p>
        </w:tc>
        <w:tc>
          <w:tcPr>
            <w:tcW w:w="850" w:type="dxa"/>
            <w:shd w:val="clear" w:color="auto" w:fill="auto"/>
            <w:noWrap/>
            <w:vAlign w:val="center"/>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21</w:t>
            </w:r>
          </w:p>
        </w:tc>
        <w:tc>
          <w:tcPr>
            <w:tcW w:w="1093" w:type="dxa"/>
            <w:shd w:val="clear" w:color="auto" w:fill="auto"/>
            <w:noWrap/>
            <w:vAlign w:val="center"/>
            <w:hideMark/>
          </w:tcPr>
          <w:p w:rsidR="005B1350" w:rsidRPr="00B81639" w:rsidRDefault="005B1350" w:rsidP="0088357D">
            <w:pPr>
              <w:contextualSpacing/>
              <w:jc w:val="center"/>
              <w:rPr>
                <w:color w:val="000000"/>
                <w:sz w:val="21"/>
                <w:szCs w:val="21"/>
                <w:lang w:eastAsia="en-AU"/>
              </w:rPr>
            </w:pPr>
            <w:r w:rsidRPr="00B81639">
              <w:rPr>
                <w:color w:val="000000"/>
                <w:sz w:val="21"/>
                <w:szCs w:val="21"/>
                <w:lang w:eastAsia="en-AU"/>
              </w:rPr>
              <w:t>2.77</w:t>
            </w:r>
            <w:r w:rsidR="0088357D">
              <w:rPr>
                <w:color w:val="000000"/>
                <w:sz w:val="21"/>
                <w:szCs w:val="21"/>
                <w:lang w:eastAsia="en-AU"/>
              </w:rPr>
              <w:t>/5</w:t>
            </w:r>
          </w:p>
        </w:tc>
      </w:tr>
    </w:tbl>
    <w:p w:rsidR="005B1350" w:rsidRDefault="005B1350" w:rsidP="00054651">
      <w:pPr>
        <w:pStyle w:val="BodyText"/>
        <w:jc w:val="both"/>
        <w:rPr>
          <w:lang w:val="en-US"/>
        </w:rPr>
      </w:pPr>
    </w:p>
    <w:p w:rsidR="005B1350" w:rsidRPr="00266CE2" w:rsidRDefault="005B1350" w:rsidP="00054651">
      <w:pPr>
        <w:pStyle w:val="BodyText"/>
        <w:jc w:val="both"/>
        <w:rPr>
          <w:sz w:val="26"/>
          <w:szCs w:val="26"/>
          <w:lang w:val="en-US"/>
        </w:rPr>
      </w:pPr>
      <w:r w:rsidRPr="00266CE2">
        <w:rPr>
          <w:sz w:val="26"/>
          <w:szCs w:val="26"/>
          <w:lang w:val="en-US"/>
        </w:rPr>
        <w:t>Kết quả trên cho thấy sự cải thiện của hệ thống quản lý đất đai trong vài thập kỷ qua. Nó cũng khẳng định tầm quan trọng của việc sử dụng đất với người sử dụng đất.</w:t>
      </w:r>
    </w:p>
    <w:p w:rsidR="005B1350" w:rsidRPr="00266CE2" w:rsidRDefault="005B1350" w:rsidP="00054651">
      <w:pPr>
        <w:pStyle w:val="BodyText"/>
        <w:jc w:val="both"/>
        <w:rPr>
          <w:sz w:val="26"/>
          <w:szCs w:val="26"/>
          <w:lang w:val="en-US"/>
        </w:rPr>
      </w:pPr>
    </w:p>
    <w:p w:rsidR="005B1350" w:rsidRPr="00266CE2" w:rsidRDefault="005B1350" w:rsidP="00054651">
      <w:pPr>
        <w:pStyle w:val="BodyText"/>
        <w:jc w:val="both"/>
        <w:rPr>
          <w:i/>
          <w:sz w:val="26"/>
          <w:szCs w:val="26"/>
          <w:lang w:val="en-US"/>
        </w:rPr>
      </w:pPr>
      <w:r w:rsidRPr="00266CE2">
        <w:rPr>
          <w:i/>
          <w:sz w:val="26"/>
          <w:szCs w:val="26"/>
          <w:lang w:val="en-US"/>
        </w:rPr>
        <w:t>Tiếp cận thông tin đất đai:</w:t>
      </w:r>
    </w:p>
    <w:p w:rsidR="005B1350" w:rsidRPr="00266CE2" w:rsidRDefault="005B1350" w:rsidP="00054651">
      <w:pPr>
        <w:pStyle w:val="BodyText"/>
        <w:jc w:val="both"/>
        <w:rPr>
          <w:sz w:val="26"/>
          <w:szCs w:val="26"/>
          <w:lang w:val="en-US"/>
        </w:rPr>
      </w:pPr>
    </w:p>
    <w:p w:rsidR="005B1350" w:rsidRPr="00266CE2" w:rsidRDefault="005B1350" w:rsidP="00054651">
      <w:pPr>
        <w:pStyle w:val="BodyText"/>
        <w:jc w:val="both"/>
        <w:rPr>
          <w:sz w:val="26"/>
          <w:szCs w:val="26"/>
          <w:lang w:val="en-US"/>
        </w:rPr>
      </w:pPr>
      <w:r w:rsidRPr="00266CE2">
        <w:rPr>
          <w:sz w:val="26"/>
          <w:szCs w:val="26"/>
          <w:lang w:val="en-US"/>
        </w:rPr>
        <w:t>Dựa vào kết quả thảo luận nhóm và khảo sát bảng hỏi, việc phổ biến thông tin ở cấp cơ sở vẫn còn nhiều hạn chế. Trong số các thông tin liên quan đến đất đai, việc tiếp cận thông tin về GCNQSDĐ được đánh giá là dễ dàng nhất với điểm số 3,54/5. Hơn một nửa số hộ gia đình (71/123) cho rằng việc tiếp cận thông tin từ thủ tục hành chính đến pháp luật và chính sách đất đai còn khó khăn.</w:t>
      </w:r>
    </w:p>
    <w:p w:rsidR="005B1350" w:rsidRPr="00266CE2" w:rsidRDefault="005B1350" w:rsidP="00054651">
      <w:pPr>
        <w:pStyle w:val="BodyText"/>
        <w:jc w:val="both"/>
        <w:rPr>
          <w:sz w:val="26"/>
          <w:szCs w:val="26"/>
          <w:lang w:val="en-US"/>
        </w:rPr>
      </w:pPr>
    </w:p>
    <w:p w:rsidR="005B1350" w:rsidRPr="00266CE2" w:rsidRDefault="005B1350" w:rsidP="00054651">
      <w:pPr>
        <w:pStyle w:val="BodyText"/>
        <w:jc w:val="both"/>
        <w:rPr>
          <w:sz w:val="26"/>
          <w:szCs w:val="26"/>
          <w:lang w:val="en-US"/>
        </w:rPr>
      </w:pPr>
      <w:r w:rsidRPr="00266CE2">
        <w:rPr>
          <w:sz w:val="26"/>
          <w:szCs w:val="26"/>
          <w:lang w:val="en-US"/>
        </w:rPr>
        <w:lastRenderedPageBreak/>
        <w:t>Kết quả đã được khẳng định qua cuộc thảo luận nhóm khi những người tham gia được hỏi về những khó khăn mà họ gặp phải khi thực hiện đăng ký đất đai. Kết quả các cuộc thảo luận cho thấy, khoảng một nửa số người tham dự đồng ý rằng cách tốt nhất để tiếp cận thông tin liên quan đến đất đai với họ là tiếp cận các cán bộ làm việc tại địa phương. Một số người tham dự cho biết rằng họ có thể truy cập thông tin đất đai bằng cách tiếp cận các địa điểm công khai thủ tục, thông tin tại trụ sở UBND, hội trường thôn ở địa phương hay tại các văn phòng đăng ký đất đai. Thông tin họ có thể tiếp cận được bao gồm danh sách các hồ sơ đủ điều kiện và không đủ điều kiện cấp GCNQSDĐ; thông tin về phí và thuế; thông tin về kế hoạch thu hồi đất, bồi thường, hỗ trợ và tái định cư (trong một số dự án cụ thể có thu hồi đất).</w:t>
      </w:r>
    </w:p>
    <w:p w:rsidR="005B1350" w:rsidRPr="00266CE2" w:rsidRDefault="005B1350" w:rsidP="00054651">
      <w:pPr>
        <w:pStyle w:val="BodyText"/>
        <w:jc w:val="both"/>
        <w:rPr>
          <w:sz w:val="26"/>
          <w:szCs w:val="26"/>
          <w:lang w:val="en-US"/>
        </w:rPr>
      </w:pPr>
    </w:p>
    <w:p w:rsidR="005B1350" w:rsidRPr="00266CE2" w:rsidRDefault="005B1350" w:rsidP="00054651">
      <w:pPr>
        <w:pStyle w:val="BodyText"/>
        <w:jc w:val="both"/>
        <w:rPr>
          <w:sz w:val="26"/>
          <w:szCs w:val="26"/>
          <w:lang w:val="en-US"/>
        </w:rPr>
      </w:pPr>
      <w:r w:rsidRPr="00266CE2">
        <w:rPr>
          <w:sz w:val="26"/>
          <w:szCs w:val="26"/>
          <w:lang w:val="en-US"/>
        </w:rPr>
        <w:t>Người tham gia cũng được hỏi về khả năng tiếp cận các tài liệu, hồ sơ đất đai bao gồm: GCNQSDĐ, bản đồ/hồ sơ kỹ thuật, trích lục thửa đất, bản đồ/tài liệu quy hoạch sử dụng đất và thông tin định giá đất. Kết quả cho thấy việc tiếp cận hơ sơ với GCNQSDĐ được đánh giá là dễ dàng nhất. Điều này phù hợp với kết quả về cách người dân tiếp cận thông tin đất đai dễ dàng như trên với thông tin về thông tin về GCNQSDĐ.</w:t>
      </w:r>
    </w:p>
    <w:p w:rsidR="005B1350" w:rsidRPr="00266CE2" w:rsidRDefault="005B1350" w:rsidP="00054651">
      <w:pPr>
        <w:pStyle w:val="BodyText"/>
        <w:jc w:val="both"/>
        <w:rPr>
          <w:sz w:val="26"/>
          <w:szCs w:val="26"/>
          <w:lang w:val="en-US"/>
        </w:rPr>
      </w:pPr>
    </w:p>
    <w:p w:rsidR="005B1350" w:rsidRPr="00266CE2" w:rsidRDefault="005B1350" w:rsidP="00054651">
      <w:pPr>
        <w:pStyle w:val="BodyText"/>
        <w:jc w:val="both"/>
        <w:rPr>
          <w:sz w:val="26"/>
          <w:szCs w:val="26"/>
          <w:lang w:val="en-US"/>
        </w:rPr>
      </w:pPr>
      <w:r w:rsidRPr="00266CE2">
        <w:rPr>
          <w:sz w:val="26"/>
          <w:szCs w:val="26"/>
          <w:lang w:val="en-US"/>
        </w:rPr>
        <w:t xml:space="preserve">Đáng ngạc nhiên là việc tiếp cận bản đồ địa chính/hồ sơ kỹ thuật, trích lục thửa đất, và quy hoạch sử dụng đất đã được đề cập đến trong luật và các quy định liên quan là hai loại thông tin bắt buộc quan trọng cần được công khai bởi các bên liên quan </w:t>
      </w:r>
      <w:r w:rsidRPr="00266CE2">
        <w:rPr>
          <w:noProof/>
          <w:sz w:val="26"/>
          <w:szCs w:val="26"/>
          <w:lang w:val="en-US"/>
        </w:rPr>
        <w:t>(Quốc hội Việt Nam, 2013b)</w:t>
      </w:r>
      <w:r w:rsidRPr="00266CE2">
        <w:rPr>
          <w:sz w:val="26"/>
          <w:szCs w:val="26"/>
          <w:lang w:val="en-US"/>
        </w:rPr>
        <w:t xml:space="preserve"> được đánh giá là những thông tin khó khăn nhất để truy cập.</w:t>
      </w:r>
    </w:p>
    <w:p w:rsidR="005B1350" w:rsidRPr="00266CE2" w:rsidRDefault="005B1350" w:rsidP="00054651">
      <w:pPr>
        <w:pStyle w:val="BodyText"/>
        <w:jc w:val="both"/>
        <w:rPr>
          <w:sz w:val="26"/>
          <w:szCs w:val="26"/>
          <w:lang w:val="en-US"/>
        </w:rPr>
      </w:pPr>
    </w:p>
    <w:p w:rsidR="005B1350" w:rsidRPr="00266CE2" w:rsidRDefault="005B1350" w:rsidP="00054651">
      <w:pPr>
        <w:pStyle w:val="BodyText"/>
        <w:jc w:val="both"/>
        <w:rPr>
          <w:sz w:val="26"/>
          <w:szCs w:val="26"/>
          <w:lang w:val="en-US"/>
        </w:rPr>
      </w:pPr>
      <w:r w:rsidRPr="00266CE2">
        <w:rPr>
          <w:sz w:val="26"/>
          <w:szCs w:val="26"/>
          <w:lang w:val="en-US"/>
        </w:rPr>
        <w:t>Tại các cuộc thảo luận nhóm, gần như tất cả những người tham gia đều cho biết thông tin về GCNQSDĐ được tiếp cận tương đối dễ dàng. Tuy nhiên, thông tin về quy hoạch sử dụng đất và các khía cạnh pháp lý (thông qua bản đồ) của thửa đất là khó tiếp cận. Rất ít người cho biết rằng họ khó có được đầy đủ thông tin và tài liệu về quy hoạch sử dụng đất khi họ muốn mua thêm đất.</w:t>
      </w:r>
    </w:p>
    <w:p w:rsidR="005B1350" w:rsidRPr="00266CE2" w:rsidRDefault="005B1350" w:rsidP="00054651">
      <w:pPr>
        <w:pStyle w:val="BodyText"/>
        <w:jc w:val="both"/>
        <w:rPr>
          <w:sz w:val="26"/>
          <w:szCs w:val="26"/>
          <w:lang w:val="en-US"/>
        </w:rPr>
      </w:pPr>
    </w:p>
    <w:p w:rsidR="005B1350" w:rsidRPr="00266CE2" w:rsidRDefault="005B1350" w:rsidP="00054651">
      <w:pPr>
        <w:pStyle w:val="BodyText"/>
        <w:jc w:val="both"/>
        <w:rPr>
          <w:sz w:val="26"/>
          <w:szCs w:val="26"/>
          <w:lang w:val="en-US"/>
        </w:rPr>
      </w:pPr>
      <w:r w:rsidRPr="00266CE2">
        <w:rPr>
          <w:sz w:val="26"/>
          <w:szCs w:val="26"/>
          <w:lang w:val="en-US"/>
        </w:rPr>
        <w:t xml:space="preserve">Tiếp cận thông tin/tài liệu là một chỉ số quan trọng trong thức đẩy giảm nghèo ở nông thôn tại các nước đang phát triển </w:t>
      </w:r>
      <w:r w:rsidRPr="00266CE2">
        <w:rPr>
          <w:noProof/>
          <w:sz w:val="26"/>
          <w:szCs w:val="26"/>
          <w:lang w:val="en-US"/>
        </w:rPr>
        <w:t>(Binswanger-Mkhize</w:t>
      </w:r>
      <w:r w:rsidRPr="00266CE2">
        <w:rPr>
          <w:i/>
          <w:noProof/>
          <w:sz w:val="26"/>
          <w:szCs w:val="26"/>
          <w:lang w:val="en-US"/>
        </w:rPr>
        <w:t xml:space="preserve"> và nnk.</w:t>
      </w:r>
      <w:r w:rsidRPr="00266CE2">
        <w:rPr>
          <w:noProof/>
          <w:sz w:val="26"/>
          <w:szCs w:val="26"/>
          <w:lang w:val="en-US"/>
        </w:rPr>
        <w:t>, 2009)</w:t>
      </w:r>
      <w:r w:rsidRPr="00266CE2">
        <w:rPr>
          <w:sz w:val="26"/>
          <w:szCs w:val="26"/>
          <w:lang w:val="en-US"/>
        </w:rPr>
        <w:t>. Kinh nghiệm từ cơ sở cho thấy tranh chấp đất đai thường là về ranh giới thửa đất có thể giải quyết thông qua quy trình lập bản đồ địa chính với sự tham gia của người sử dụng đất và cơ chế rõ ràng để tiếp cận thông tin và tài liệu liên quan đến đất đai chính thức và hợp pháp.</w:t>
      </w:r>
    </w:p>
    <w:p w:rsidR="005B1350" w:rsidRPr="00266CE2" w:rsidRDefault="005B1350" w:rsidP="00054651">
      <w:pPr>
        <w:pStyle w:val="BodyText"/>
        <w:jc w:val="both"/>
        <w:rPr>
          <w:sz w:val="26"/>
          <w:szCs w:val="26"/>
          <w:lang w:val="en-US"/>
        </w:rPr>
      </w:pPr>
    </w:p>
    <w:p w:rsidR="005B1350" w:rsidRPr="00266CE2" w:rsidRDefault="005B1350" w:rsidP="00054651">
      <w:pPr>
        <w:pStyle w:val="BodyText"/>
        <w:jc w:val="both"/>
        <w:rPr>
          <w:i/>
          <w:sz w:val="26"/>
          <w:szCs w:val="26"/>
          <w:lang w:val="en-US"/>
        </w:rPr>
      </w:pPr>
      <w:r w:rsidRPr="00266CE2">
        <w:rPr>
          <w:i/>
          <w:sz w:val="26"/>
          <w:szCs w:val="26"/>
          <w:lang w:val="en-US"/>
        </w:rPr>
        <w:t>Những hạn chế trong tiếp cận thông tin đất đai</w:t>
      </w:r>
    </w:p>
    <w:p w:rsidR="005B1350" w:rsidRPr="00266CE2" w:rsidRDefault="005B1350" w:rsidP="00054651">
      <w:pPr>
        <w:pStyle w:val="BodyText"/>
        <w:jc w:val="both"/>
        <w:rPr>
          <w:sz w:val="26"/>
          <w:szCs w:val="26"/>
          <w:lang w:val="en-US"/>
        </w:rPr>
      </w:pPr>
    </w:p>
    <w:p w:rsidR="005B1350" w:rsidRDefault="005B1350" w:rsidP="00054651">
      <w:pPr>
        <w:pStyle w:val="BodyText"/>
        <w:jc w:val="both"/>
        <w:rPr>
          <w:sz w:val="26"/>
          <w:szCs w:val="26"/>
          <w:lang w:val="en-US"/>
        </w:rPr>
      </w:pPr>
      <w:r w:rsidRPr="00266CE2">
        <w:rPr>
          <w:sz w:val="26"/>
          <w:szCs w:val="26"/>
          <w:lang w:val="en-US"/>
        </w:rPr>
        <w:t>Hơn một nửa (56,8%) các câu trả lời chỉ ra rằng người dân còn gặp khó khăn trong việc tiếp cận thông tin liên quan đến đất đai, chủ yếu là do không có thông tin hoặc thông tin có nhưng không được cập nhật (71%). Các thuật ngữ chuyên môn phức tạp và mức phí để truy cập thông tin cũng là vấn đề với 57% người tham gia.</w:t>
      </w:r>
    </w:p>
    <w:p w:rsidR="0086091E" w:rsidRDefault="0086091E" w:rsidP="0086091E">
      <w:pPr>
        <w:pStyle w:val="BodyText"/>
        <w:jc w:val="both"/>
        <w:rPr>
          <w:sz w:val="26"/>
          <w:szCs w:val="26"/>
          <w:lang w:val="en-US"/>
        </w:rPr>
      </w:pPr>
    </w:p>
    <w:p w:rsidR="0086091E" w:rsidRPr="00266CE2" w:rsidRDefault="0086091E" w:rsidP="0086091E">
      <w:pPr>
        <w:pStyle w:val="BodyText"/>
        <w:jc w:val="both"/>
        <w:rPr>
          <w:sz w:val="26"/>
          <w:szCs w:val="26"/>
          <w:lang w:val="en-US"/>
        </w:rPr>
      </w:pPr>
      <w:r w:rsidRPr="00266CE2">
        <w:rPr>
          <w:sz w:val="26"/>
          <w:szCs w:val="26"/>
          <w:lang w:val="en-US"/>
        </w:rPr>
        <w:t>Mặc dù UBND cấp xã có trách nhiệm công khai thông tin, nhưng chủ sử dụng đất vẫn gặp khó khăn trong việc tiếp cận thông tin đất đai do: chất lượng thông tin (lỗi thời, thuật ngữ phức tạp), số lượng thông tin (không có) và thời gian đáp ứng (đã hết hạn, không sẵn có) và vấn đề tài chính (phí cao).</w:t>
      </w:r>
    </w:p>
    <w:p w:rsidR="0086091E" w:rsidRDefault="0086091E" w:rsidP="00054651">
      <w:pPr>
        <w:spacing w:before="240" w:line="360" w:lineRule="auto"/>
        <w:jc w:val="both"/>
        <w:rPr>
          <w:b/>
          <w:sz w:val="22"/>
          <w:szCs w:val="24"/>
        </w:rPr>
      </w:pPr>
    </w:p>
    <w:p w:rsidR="0086091E" w:rsidRDefault="0086091E" w:rsidP="00054651">
      <w:pPr>
        <w:spacing w:before="240" w:line="360" w:lineRule="auto"/>
        <w:jc w:val="both"/>
        <w:rPr>
          <w:b/>
          <w:sz w:val="22"/>
          <w:szCs w:val="24"/>
        </w:rPr>
      </w:pPr>
    </w:p>
    <w:p w:rsidR="005B1350" w:rsidRPr="004E443A" w:rsidRDefault="005B1350" w:rsidP="00054651">
      <w:pPr>
        <w:spacing w:before="240" w:line="360" w:lineRule="auto"/>
        <w:jc w:val="both"/>
        <w:rPr>
          <w:b/>
          <w:sz w:val="22"/>
          <w:szCs w:val="24"/>
        </w:rPr>
      </w:pPr>
      <w:r>
        <w:rPr>
          <w:b/>
          <w:sz w:val="22"/>
          <w:szCs w:val="24"/>
        </w:rPr>
        <w:lastRenderedPageBreak/>
        <w:t>Bảng 9</w:t>
      </w:r>
      <w:r w:rsidRPr="004E443A">
        <w:rPr>
          <w:b/>
          <w:sz w:val="22"/>
          <w:szCs w:val="24"/>
        </w:rPr>
        <w:t xml:space="preserve">: </w:t>
      </w:r>
      <w:r>
        <w:rPr>
          <w:b/>
          <w:sz w:val="22"/>
          <w:szCs w:val="24"/>
        </w:rPr>
        <w:t>Những khó khăn trong tiếp cận thông tin đất đai</w:t>
      </w:r>
    </w:p>
    <w:tbl>
      <w:tblPr>
        <w:tblW w:w="9053" w:type="dxa"/>
        <w:jc w:val="center"/>
        <w:tblBorders>
          <w:top w:val="single" w:sz="4" w:space="0" w:color="auto"/>
          <w:bottom w:val="single" w:sz="4" w:space="0" w:color="auto"/>
        </w:tblBorders>
        <w:tblLook w:val="04A0" w:firstRow="1" w:lastRow="0" w:firstColumn="1" w:lastColumn="0" w:noHBand="0" w:noVBand="1"/>
      </w:tblPr>
      <w:tblGrid>
        <w:gridCol w:w="3681"/>
        <w:gridCol w:w="1281"/>
        <w:gridCol w:w="1134"/>
        <w:gridCol w:w="2126"/>
        <w:gridCol w:w="831"/>
      </w:tblGrid>
      <w:tr w:rsidR="005B1350" w:rsidRPr="00DD5206" w:rsidTr="0086091E">
        <w:trPr>
          <w:trHeight w:val="300"/>
          <w:tblHeader/>
          <w:jc w:val="center"/>
        </w:trPr>
        <w:tc>
          <w:tcPr>
            <w:tcW w:w="3681" w:type="dxa"/>
            <w:tcBorders>
              <w:top w:val="single" w:sz="4" w:space="0" w:color="auto"/>
              <w:bottom w:val="single" w:sz="4" w:space="0" w:color="auto"/>
            </w:tcBorders>
            <w:shd w:val="clear" w:color="auto" w:fill="auto"/>
            <w:noWrap/>
            <w:vAlign w:val="center"/>
          </w:tcPr>
          <w:p w:rsidR="005B1350" w:rsidRPr="00DD5206" w:rsidRDefault="005B1350" w:rsidP="0086091E">
            <w:pPr>
              <w:contextualSpacing/>
              <w:jc w:val="center"/>
              <w:rPr>
                <w:b/>
                <w:color w:val="000000"/>
                <w:sz w:val="21"/>
                <w:szCs w:val="21"/>
                <w:lang w:eastAsia="en-AU"/>
              </w:rPr>
            </w:pPr>
            <w:r w:rsidRPr="00DD5206">
              <w:rPr>
                <w:b/>
                <w:color w:val="000000"/>
                <w:sz w:val="21"/>
                <w:szCs w:val="21"/>
                <w:lang w:eastAsia="en-AU"/>
              </w:rPr>
              <w:t>Yếu tố</w:t>
            </w:r>
          </w:p>
        </w:tc>
        <w:tc>
          <w:tcPr>
            <w:tcW w:w="1281" w:type="dxa"/>
            <w:tcBorders>
              <w:top w:val="single" w:sz="4" w:space="0" w:color="auto"/>
              <w:bottom w:val="single" w:sz="4" w:space="0" w:color="auto"/>
            </w:tcBorders>
            <w:vAlign w:val="center"/>
          </w:tcPr>
          <w:p w:rsidR="005B1350" w:rsidRPr="00DD5206" w:rsidRDefault="0086091E" w:rsidP="00054651">
            <w:pPr>
              <w:contextualSpacing/>
              <w:jc w:val="center"/>
              <w:rPr>
                <w:b/>
                <w:color w:val="000000"/>
                <w:sz w:val="21"/>
                <w:szCs w:val="21"/>
                <w:lang w:eastAsia="en-AU"/>
              </w:rPr>
            </w:pPr>
            <w:r>
              <w:rPr>
                <w:b/>
                <w:color w:val="000000"/>
                <w:sz w:val="21"/>
                <w:szCs w:val="21"/>
                <w:lang w:eastAsia="en-AU"/>
              </w:rPr>
              <w:t>Khó khăn</w:t>
            </w:r>
          </w:p>
        </w:tc>
        <w:tc>
          <w:tcPr>
            <w:tcW w:w="1134" w:type="dxa"/>
            <w:tcBorders>
              <w:top w:val="single" w:sz="4" w:space="0" w:color="auto"/>
              <w:bottom w:val="single" w:sz="4" w:space="0" w:color="auto"/>
            </w:tcBorders>
            <w:vAlign w:val="center"/>
          </w:tcPr>
          <w:p w:rsidR="005B1350" w:rsidRPr="00DD5206" w:rsidRDefault="005B1350" w:rsidP="00054651">
            <w:pPr>
              <w:contextualSpacing/>
              <w:jc w:val="center"/>
              <w:rPr>
                <w:b/>
                <w:color w:val="000000"/>
                <w:sz w:val="21"/>
                <w:szCs w:val="21"/>
                <w:lang w:eastAsia="en-AU"/>
              </w:rPr>
            </w:pPr>
            <w:r w:rsidRPr="00DD5206">
              <w:rPr>
                <w:b/>
                <w:color w:val="000000"/>
                <w:sz w:val="21"/>
                <w:szCs w:val="21"/>
                <w:lang w:eastAsia="en-AU"/>
              </w:rPr>
              <w:t>%</w:t>
            </w:r>
          </w:p>
        </w:tc>
        <w:tc>
          <w:tcPr>
            <w:tcW w:w="2126" w:type="dxa"/>
            <w:tcBorders>
              <w:top w:val="single" w:sz="4" w:space="0" w:color="auto"/>
              <w:bottom w:val="single" w:sz="4" w:space="0" w:color="auto"/>
            </w:tcBorders>
            <w:shd w:val="clear" w:color="auto" w:fill="auto"/>
            <w:noWrap/>
            <w:vAlign w:val="center"/>
          </w:tcPr>
          <w:p w:rsidR="005B1350" w:rsidRPr="00DD5206" w:rsidRDefault="0086091E" w:rsidP="00054651">
            <w:pPr>
              <w:contextualSpacing/>
              <w:jc w:val="center"/>
              <w:rPr>
                <w:b/>
                <w:color w:val="000000"/>
                <w:sz w:val="21"/>
                <w:szCs w:val="21"/>
                <w:lang w:eastAsia="en-AU"/>
              </w:rPr>
            </w:pPr>
            <w:r>
              <w:rPr>
                <w:b/>
                <w:color w:val="000000"/>
                <w:sz w:val="21"/>
                <w:szCs w:val="21"/>
                <w:lang w:eastAsia="en-AU"/>
              </w:rPr>
              <w:t>Không có khó khăn</w:t>
            </w:r>
          </w:p>
        </w:tc>
        <w:tc>
          <w:tcPr>
            <w:tcW w:w="831" w:type="dxa"/>
            <w:tcBorders>
              <w:top w:val="single" w:sz="4" w:space="0" w:color="auto"/>
              <w:bottom w:val="single" w:sz="4" w:space="0" w:color="auto"/>
            </w:tcBorders>
            <w:shd w:val="clear" w:color="auto" w:fill="auto"/>
            <w:noWrap/>
            <w:vAlign w:val="center"/>
          </w:tcPr>
          <w:p w:rsidR="005B1350" w:rsidRPr="00DD5206" w:rsidRDefault="005B1350" w:rsidP="00054651">
            <w:pPr>
              <w:contextualSpacing/>
              <w:jc w:val="center"/>
              <w:rPr>
                <w:b/>
                <w:color w:val="000000"/>
                <w:sz w:val="21"/>
                <w:szCs w:val="21"/>
                <w:lang w:eastAsia="en-AU"/>
              </w:rPr>
            </w:pPr>
            <w:r w:rsidRPr="00DD5206">
              <w:rPr>
                <w:b/>
                <w:color w:val="000000"/>
                <w:sz w:val="21"/>
                <w:szCs w:val="21"/>
                <w:lang w:eastAsia="en-AU"/>
              </w:rPr>
              <w:t>%</w:t>
            </w:r>
          </w:p>
        </w:tc>
      </w:tr>
      <w:tr w:rsidR="005B1350" w:rsidRPr="00B81639" w:rsidTr="0086091E">
        <w:trPr>
          <w:trHeight w:val="300"/>
          <w:jc w:val="center"/>
        </w:trPr>
        <w:tc>
          <w:tcPr>
            <w:tcW w:w="3681" w:type="dxa"/>
            <w:tcBorders>
              <w:top w:val="single" w:sz="4" w:space="0" w:color="auto"/>
            </w:tcBorders>
            <w:shd w:val="clear" w:color="auto" w:fill="auto"/>
            <w:noWrap/>
            <w:vAlign w:val="center"/>
            <w:hideMark/>
          </w:tcPr>
          <w:p w:rsidR="005B1350" w:rsidRPr="00B81639" w:rsidRDefault="005B1350" w:rsidP="0086091E">
            <w:pPr>
              <w:contextualSpacing/>
              <w:jc w:val="right"/>
              <w:rPr>
                <w:color w:val="000000"/>
                <w:sz w:val="21"/>
                <w:szCs w:val="21"/>
                <w:lang w:eastAsia="en-AU"/>
              </w:rPr>
            </w:pPr>
            <w:r>
              <w:rPr>
                <w:color w:val="000000"/>
                <w:sz w:val="21"/>
                <w:szCs w:val="21"/>
                <w:lang w:eastAsia="en-AU"/>
              </w:rPr>
              <w:t>Không có thông tin</w:t>
            </w:r>
          </w:p>
        </w:tc>
        <w:tc>
          <w:tcPr>
            <w:tcW w:w="1281" w:type="dxa"/>
            <w:tcBorders>
              <w:top w:val="single" w:sz="4" w:space="0" w:color="auto"/>
            </w:tcBorders>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87</w:t>
            </w:r>
          </w:p>
        </w:tc>
        <w:tc>
          <w:tcPr>
            <w:tcW w:w="1134" w:type="dxa"/>
            <w:tcBorders>
              <w:top w:val="single" w:sz="4" w:space="0" w:color="auto"/>
            </w:tcBorders>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71%</w:t>
            </w:r>
          </w:p>
        </w:tc>
        <w:tc>
          <w:tcPr>
            <w:tcW w:w="2126" w:type="dxa"/>
            <w:tcBorders>
              <w:top w:val="single" w:sz="4" w:space="0" w:color="auto"/>
            </w:tcBorders>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35</w:t>
            </w:r>
          </w:p>
        </w:tc>
        <w:tc>
          <w:tcPr>
            <w:tcW w:w="831" w:type="dxa"/>
            <w:tcBorders>
              <w:top w:val="single" w:sz="4" w:space="0" w:color="auto"/>
            </w:tcBorders>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29%</w:t>
            </w:r>
          </w:p>
        </w:tc>
      </w:tr>
      <w:tr w:rsidR="005B1350" w:rsidRPr="00B81639" w:rsidTr="0086091E">
        <w:trPr>
          <w:trHeight w:val="300"/>
          <w:jc w:val="center"/>
        </w:trPr>
        <w:tc>
          <w:tcPr>
            <w:tcW w:w="3681" w:type="dxa"/>
            <w:shd w:val="clear" w:color="auto" w:fill="auto"/>
            <w:noWrap/>
            <w:vAlign w:val="center"/>
            <w:hideMark/>
          </w:tcPr>
          <w:p w:rsidR="005B1350" w:rsidRPr="00B81639" w:rsidRDefault="005B1350" w:rsidP="0086091E">
            <w:pPr>
              <w:contextualSpacing/>
              <w:jc w:val="right"/>
              <w:rPr>
                <w:color w:val="000000"/>
                <w:sz w:val="21"/>
                <w:szCs w:val="21"/>
                <w:lang w:eastAsia="en-AU"/>
              </w:rPr>
            </w:pPr>
            <w:r>
              <w:rPr>
                <w:color w:val="000000"/>
                <w:sz w:val="21"/>
                <w:szCs w:val="21"/>
                <w:lang w:eastAsia="en-AU"/>
              </w:rPr>
              <w:t>Thông tin lỗi thời, không được cập nhật</w:t>
            </w:r>
          </w:p>
        </w:tc>
        <w:tc>
          <w:tcPr>
            <w:tcW w:w="1281" w:type="dxa"/>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87</w:t>
            </w:r>
          </w:p>
        </w:tc>
        <w:tc>
          <w:tcPr>
            <w:tcW w:w="1134" w:type="dxa"/>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71%</w:t>
            </w:r>
          </w:p>
        </w:tc>
        <w:tc>
          <w:tcPr>
            <w:tcW w:w="2126" w:type="dxa"/>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35</w:t>
            </w:r>
          </w:p>
        </w:tc>
        <w:tc>
          <w:tcPr>
            <w:tcW w:w="831" w:type="dxa"/>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29%</w:t>
            </w:r>
          </w:p>
        </w:tc>
      </w:tr>
      <w:tr w:rsidR="005B1350" w:rsidRPr="00B81639" w:rsidTr="0086091E">
        <w:trPr>
          <w:trHeight w:val="300"/>
          <w:jc w:val="center"/>
        </w:trPr>
        <w:tc>
          <w:tcPr>
            <w:tcW w:w="3681" w:type="dxa"/>
            <w:shd w:val="clear" w:color="auto" w:fill="auto"/>
            <w:noWrap/>
            <w:vAlign w:val="center"/>
            <w:hideMark/>
          </w:tcPr>
          <w:p w:rsidR="005B1350" w:rsidRPr="00B81639" w:rsidRDefault="005B1350" w:rsidP="0086091E">
            <w:pPr>
              <w:contextualSpacing/>
              <w:jc w:val="right"/>
              <w:rPr>
                <w:color w:val="000000"/>
                <w:sz w:val="21"/>
                <w:szCs w:val="21"/>
                <w:lang w:eastAsia="en-AU"/>
              </w:rPr>
            </w:pPr>
            <w:r>
              <w:rPr>
                <w:color w:val="000000"/>
                <w:sz w:val="21"/>
                <w:szCs w:val="21"/>
                <w:lang w:eastAsia="en-AU"/>
              </w:rPr>
              <w:t>Từ ngữ biểu đạt khó hiểu</w:t>
            </w:r>
          </w:p>
        </w:tc>
        <w:tc>
          <w:tcPr>
            <w:tcW w:w="1281" w:type="dxa"/>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70</w:t>
            </w:r>
          </w:p>
        </w:tc>
        <w:tc>
          <w:tcPr>
            <w:tcW w:w="1134" w:type="dxa"/>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57%</w:t>
            </w:r>
          </w:p>
        </w:tc>
        <w:tc>
          <w:tcPr>
            <w:tcW w:w="2126" w:type="dxa"/>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52</w:t>
            </w:r>
          </w:p>
        </w:tc>
        <w:tc>
          <w:tcPr>
            <w:tcW w:w="831" w:type="dxa"/>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43%</w:t>
            </w:r>
          </w:p>
        </w:tc>
      </w:tr>
      <w:tr w:rsidR="005B1350" w:rsidRPr="00B81639" w:rsidTr="0086091E">
        <w:trPr>
          <w:trHeight w:val="300"/>
          <w:jc w:val="center"/>
        </w:trPr>
        <w:tc>
          <w:tcPr>
            <w:tcW w:w="3681" w:type="dxa"/>
            <w:shd w:val="clear" w:color="auto" w:fill="auto"/>
            <w:noWrap/>
            <w:vAlign w:val="center"/>
            <w:hideMark/>
          </w:tcPr>
          <w:p w:rsidR="005B1350" w:rsidRPr="00B81639" w:rsidRDefault="005B1350" w:rsidP="0086091E">
            <w:pPr>
              <w:contextualSpacing/>
              <w:jc w:val="right"/>
              <w:rPr>
                <w:color w:val="000000"/>
                <w:sz w:val="21"/>
                <w:szCs w:val="21"/>
                <w:lang w:eastAsia="en-AU"/>
              </w:rPr>
            </w:pPr>
            <w:r>
              <w:rPr>
                <w:color w:val="000000"/>
                <w:sz w:val="21"/>
                <w:szCs w:val="21"/>
                <w:lang w:eastAsia="en-AU"/>
              </w:rPr>
              <w:t>Phí cao</w:t>
            </w:r>
          </w:p>
        </w:tc>
        <w:tc>
          <w:tcPr>
            <w:tcW w:w="1281" w:type="dxa"/>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70</w:t>
            </w:r>
          </w:p>
        </w:tc>
        <w:tc>
          <w:tcPr>
            <w:tcW w:w="1134" w:type="dxa"/>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57%</w:t>
            </w:r>
          </w:p>
        </w:tc>
        <w:tc>
          <w:tcPr>
            <w:tcW w:w="2126" w:type="dxa"/>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52</w:t>
            </w:r>
          </w:p>
        </w:tc>
        <w:tc>
          <w:tcPr>
            <w:tcW w:w="831" w:type="dxa"/>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43%</w:t>
            </w:r>
          </w:p>
        </w:tc>
      </w:tr>
      <w:tr w:rsidR="005B1350" w:rsidRPr="00B81639" w:rsidTr="0086091E">
        <w:trPr>
          <w:trHeight w:val="300"/>
          <w:jc w:val="center"/>
        </w:trPr>
        <w:tc>
          <w:tcPr>
            <w:tcW w:w="3681" w:type="dxa"/>
            <w:shd w:val="clear" w:color="auto" w:fill="auto"/>
            <w:noWrap/>
            <w:vAlign w:val="center"/>
            <w:hideMark/>
          </w:tcPr>
          <w:p w:rsidR="005B1350" w:rsidRPr="00B81639" w:rsidRDefault="005B1350" w:rsidP="0086091E">
            <w:pPr>
              <w:contextualSpacing/>
              <w:jc w:val="right"/>
              <w:rPr>
                <w:color w:val="000000"/>
                <w:sz w:val="21"/>
                <w:szCs w:val="21"/>
                <w:lang w:eastAsia="en-AU"/>
              </w:rPr>
            </w:pPr>
            <w:r>
              <w:rPr>
                <w:color w:val="000000"/>
                <w:sz w:val="21"/>
                <w:szCs w:val="21"/>
                <w:lang w:eastAsia="en-AU"/>
              </w:rPr>
              <w:t>Phải có giấy tờ tuỳ thân</w:t>
            </w:r>
          </w:p>
        </w:tc>
        <w:tc>
          <w:tcPr>
            <w:tcW w:w="1281" w:type="dxa"/>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39</w:t>
            </w:r>
          </w:p>
        </w:tc>
        <w:tc>
          <w:tcPr>
            <w:tcW w:w="1134" w:type="dxa"/>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32%</w:t>
            </w:r>
          </w:p>
        </w:tc>
        <w:tc>
          <w:tcPr>
            <w:tcW w:w="2126" w:type="dxa"/>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83</w:t>
            </w:r>
          </w:p>
        </w:tc>
        <w:tc>
          <w:tcPr>
            <w:tcW w:w="831" w:type="dxa"/>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68%</w:t>
            </w:r>
          </w:p>
        </w:tc>
      </w:tr>
      <w:tr w:rsidR="005B1350" w:rsidRPr="00B81639" w:rsidTr="0086091E">
        <w:trPr>
          <w:trHeight w:val="300"/>
          <w:jc w:val="center"/>
        </w:trPr>
        <w:tc>
          <w:tcPr>
            <w:tcW w:w="3681" w:type="dxa"/>
            <w:tcBorders>
              <w:bottom w:val="single" w:sz="4" w:space="0" w:color="auto"/>
            </w:tcBorders>
            <w:shd w:val="clear" w:color="auto" w:fill="auto"/>
            <w:noWrap/>
            <w:vAlign w:val="center"/>
            <w:hideMark/>
          </w:tcPr>
          <w:p w:rsidR="005B1350" w:rsidRPr="00B81639" w:rsidRDefault="005B1350" w:rsidP="00054651">
            <w:pPr>
              <w:contextualSpacing/>
              <w:rPr>
                <w:color w:val="000000"/>
                <w:sz w:val="21"/>
                <w:szCs w:val="21"/>
                <w:lang w:eastAsia="en-AU"/>
              </w:rPr>
            </w:pPr>
            <w:r>
              <w:rPr>
                <w:color w:val="000000"/>
                <w:sz w:val="21"/>
                <w:szCs w:val="21"/>
                <w:lang w:eastAsia="en-AU"/>
              </w:rPr>
              <w:t>Phải xin phép</w:t>
            </w:r>
          </w:p>
        </w:tc>
        <w:tc>
          <w:tcPr>
            <w:tcW w:w="1281" w:type="dxa"/>
            <w:tcBorders>
              <w:bottom w:val="single" w:sz="4" w:space="0" w:color="auto"/>
            </w:tcBorders>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63</w:t>
            </w:r>
          </w:p>
        </w:tc>
        <w:tc>
          <w:tcPr>
            <w:tcW w:w="1134" w:type="dxa"/>
            <w:tcBorders>
              <w:bottom w:val="single" w:sz="4" w:space="0" w:color="auto"/>
            </w:tcBorders>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52%</w:t>
            </w:r>
          </w:p>
        </w:tc>
        <w:tc>
          <w:tcPr>
            <w:tcW w:w="2126" w:type="dxa"/>
            <w:tcBorders>
              <w:bottom w:val="single" w:sz="4" w:space="0" w:color="auto"/>
            </w:tcBorders>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59</w:t>
            </w:r>
          </w:p>
        </w:tc>
        <w:tc>
          <w:tcPr>
            <w:tcW w:w="831" w:type="dxa"/>
            <w:tcBorders>
              <w:bottom w:val="single" w:sz="4" w:space="0" w:color="auto"/>
            </w:tcBorders>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48%</w:t>
            </w:r>
          </w:p>
        </w:tc>
      </w:tr>
      <w:tr w:rsidR="005B1350" w:rsidRPr="00B81639" w:rsidTr="0086091E">
        <w:trPr>
          <w:trHeight w:val="300"/>
          <w:jc w:val="center"/>
        </w:trPr>
        <w:tc>
          <w:tcPr>
            <w:tcW w:w="3681" w:type="dxa"/>
            <w:tcBorders>
              <w:top w:val="single" w:sz="4" w:space="0" w:color="auto"/>
              <w:bottom w:val="single" w:sz="4" w:space="0" w:color="auto"/>
            </w:tcBorders>
            <w:shd w:val="clear" w:color="auto" w:fill="auto"/>
            <w:noWrap/>
            <w:vAlign w:val="center"/>
          </w:tcPr>
          <w:p w:rsidR="005B1350" w:rsidRPr="00B81639" w:rsidRDefault="005B1350" w:rsidP="00054651">
            <w:pPr>
              <w:contextualSpacing/>
              <w:jc w:val="right"/>
              <w:rPr>
                <w:color w:val="000000"/>
                <w:sz w:val="21"/>
                <w:szCs w:val="21"/>
                <w:lang w:eastAsia="en-AU"/>
              </w:rPr>
            </w:pPr>
            <w:r>
              <w:rPr>
                <w:color w:val="000000"/>
                <w:sz w:val="21"/>
                <w:szCs w:val="21"/>
                <w:lang w:eastAsia="en-AU"/>
              </w:rPr>
              <w:t>Trung bình</w:t>
            </w:r>
          </w:p>
        </w:tc>
        <w:tc>
          <w:tcPr>
            <w:tcW w:w="1281" w:type="dxa"/>
            <w:tcBorders>
              <w:top w:val="single" w:sz="4" w:space="0" w:color="auto"/>
              <w:bottom w:val="single" w:sz="4" w:space="0" w:color="auto"/>
            </w:tcBorders>
            <w:vAlign w:val="center"/>
          </w:tcPr>
          <w:p w:rsidR="005B1350" w:rsidRPr="00B81639" w:rsidRDefault="005B1350" w:rsidP="00054651">
            <w:pPr>
              <w:contextualSpacing/>
              <w:jc w:val="center"/>
              <w:rPr>
                <w:color w:val="000000"/>
                <w:sz w:val="21"/>
                <w:szCs w:val="21"/>
                <w:lang w:eastAsia="en-AU"/>
              </w:rPr>
            </w:pPr>
          </w:p>
        </w:tc>
        <w:tc>
          <w:tcPr>
            <w:tcW w:w="1134" w:type="dxa"/>
            <w:tcBorders>
              <w:top w:val="single" w:sz="4" w:space="0" w:color="auto"/>
              <w:bottom w:val="single" w:sz="4" w:space="0" w:color="auto"/>
            </w:tcBorders>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56.8%</w:t>
            </w:r>
          </w:p>
        </w:tc>
        <w:tc>
          <w:tcPr>
            <w:tcW w:w="2126" w:type="dxa"/>
            <w:tcBorders>
              <w:top w:val="single" w:sz="4" w:space="0" w:color="auto"/>
              <w:bottom w:val="single" w:sz="4" w:space="0" w:color="auto"/>
            </w:tcBorders>
            <w:shd w:val="clear" w:color="auto" w:fill="auto"/>
            <w:noWrap/>
            <w:vAlign w:val="center"/>
          </w:tcPr>
          <w:p w:rsidR="005B1350" w:rsidRPr="00B81639" w:rsidRDefault="005B1350" w:rsidP="00054651">
            <w:pPr>
              <w:contextualSpacing/>
              <w:jc w:val="center"/>
              <w:rPr>
                <w:color w:val="000000"/>
                <w:sz w:val="21"/>
                <w:szCs w:val="21"/>
                <w:lang w:eastAsia="en-AU"/>
              </w:rPr>
            </w:pPr>
          </w:p>
        </w:tc>
        <w:tc>
          <w:tcPr>
            <w:tcW w:w="831" w:type="dxa"/>
            <w:tcBorders>
              <w:top w:val="single" w:sz="4" w:space="0" w:color="auto"/>
              <w:bottom w:val="single" w:sz="4" w:space="0" w:color="auto"/>
            </w:tcBorders>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43.2%</w:t>
            </w:r>
          </w:p>
        </w:tc>
      </w:tr>
    </w:tbl>
    <w:p w:rsidR="005B1350" w:rsidRPr="00266CE2" w:rsidRDefault="005B1350" w:rsidP="00054651">
      <w:pPr>
        <w:pStyle w:val="BodyText"/>
        <w:jc w:val="both"/>
        <w:rPr>
          <w:sz w:val="26"/>
          <w:szCs w:val="26"/>
          <w:lang w:val="en-US"/>
        </w:rPr>
      </w:pPr>
    </w:p>
    <w:p w:rsidR="005B1350" w:rsidRPr="00266CE2" w:rsidRDefault="005B1350" w:rsidP="00054651">
      <w:pPr>
        <w:pStyle w:val="BodyText"/>
        <w:jc w:val="both"/>
        <w:rPr>
          <w:sz w:val="26"/>
          <w:szCs w:val="26"/>
          <w:lang w:val="en-US"/>
        </w:rPr>
      </w:pPr>
      <w:r w:rsidRPr="00266CE2">
        <w:rPr>
          <w:sz w:val="26"/>
          <w:szCs w:val="26"/>
          <w:lang w:val="en-US"/>
        </w:rPr>
        <w:t>Rõ ràng, phương pháp thủ công, truyền thống vẫn được sử dụng thường xuyên để tiếp cận thông tin/tài liệu đất đai cùng với vai trò của các cá nhân cán bộ đã làm giảm mức độ tiếp cận của công dân với thông tin đất đai. Điều này có thể được cải thiện với sự phát triển và thực hiện một hệ thống thông tin đất đai đa mục tiêu (MPLIS). Thông tin từ hệ thống MPLIS sẽ phải luôn sẵn sàng và được trình bày dễ hiểu. Điều này sẽ giải quyết các vấn đề khó khăn trên. Bên cạnh đó, việc duy trì một kênh cung cấp thông tin truyền thống ở cấp cơ sở, nhất là khu vực nông thôn cần được thực hiện.</w:t>
      </w:r>
    </w:p>
    <w:p w:rsidR="005B1350" w:rsidRPr="00266CE2" w:rsidRDefault="005B1350" w:rsidP="00054651">
      <w:pPr>
        <w:pStyle w:val="BodyText"/>
        <w:jc w:val="both"/>
        <w:rPr>
          <w:sz w:val="26"/>
          <w:szCs w:val="26"/>
          <w:lang w:val="en-US"/>
        </w:rPr>
      </w:pPr>
    </w:p>
    <w:p w:rsidR="005B1350" w:rsidRPr="00266CE2" w:rsidRDefault="005B1350" w:rsidP="00054651">
      <w:pPr>
        <w:pStyle w:val="BodyText"/>
        <w:jc w:val="both"/>
        <w:rPr>
          <w:i/>
          <w:sz w:val="26"/>
          <w:szCs w:val="26"/>
          <w:lang w:val="en-US"/>
        </w:rPr>
      </w:pPr>
      <w:r w:rsidRPr="00266CE2">
        <w:rPr>
          <w:i/>
          <w:sz w:val="26"/>
          <w:szCs w:val="26"/>
          <w:lang w:val="en-US"/>
        </w:rPr>
        <w:t>Cung cấp thông tin đất đai ở cấp cơ sở:</w:t>
      </w:r>
    </w:p>
    <w:p w:rsidR="005B1350" w:rsidRPr="00266CE2" w:rsidRDefault="005B1350" w:rsidP="00054651">
      <w:pPr>
        <w:pStyle w:val="BodyText"/>
        <w:jc w:val="both"/>
        <w:rPr>
          <w:sz w:val="26"/>
          <w:szCs w:val="26"/>
          <w:lang w:val="en-US"/>
        </w:rPr>
      </w:pPr>
    </w:p>
    <w:p w:rsidR="005B1350" w:rsidRPr="00266CE2" w:rsidRDefault="005B1350" w:rsidP="00054651">
      <w:pPr>
        <w:pStyle w:val="BodyText"/>
        <w:jc w:val="both"/>
        <w:rPr>
          <w:sz w:val="26"/>
          <w:szCs w:val="26"/>
          <w:lang w:val="en-US"/>
        </w:rPr>
      </w:pPr>
      <w:r w:rsidRPr="00266CE2">
        <w:rPr>
          <w:sz w:val="26"/>
          <w:szCs w:val="26"/>
          <w:lang w:val="en-US"/>
        </w:rPr>
        <w:t>Kết quả không đồng đều giữa các phương pháp cung cấp thông tin tới công dân, từ các phương tiện thông tin đại chúng như truyền hình, đài phát thanh, báo chí (cả báo in và báo mạng) đến các phương pháp truyền thống tại địa phương bao gồm các cuộc họp làng, biểu ngữ, tờ rơi. Bảng 10 dưới đây đã so sánh đánh giá của những người được hỏi về hiệu quả phổ biến thông tin đất đai ở cấp cơ sở.</w:t>
      </w:r>
    </w:p>
    <w:p w:rsidR="005B1350" w:rsidRPr="00266CE2" w:rsidRDefault="005B1350" w:rsidP="00054651">
      <w:pPr>
        <w:pStyle w:val="BodyText"/>
        <w:jc w:val="both"/>
        <w:rPr>
          <w:sz w:val="26"/>
          <w:szCs w:val="26"/>
          <w:lang w:val="en-US"/>
        </w:rPr>
      </w:pPr>
    </w:p>
    <w:p w:rsidR="005B1350" w:rsidRPr="00266CE2" w:rsidRDefault="005B1350" w:rsidP="00054651">
      <w:pPr>
        <w:pStyle w:val="BodyText"/>
        <w:jc w:val="both"/>
        <w:rPr>
          <w:sz w:val="26"/>
          <w:szCs w:val="26"/>
          <w:lang w:val="en-US"/>
        </w:rPr>
      </w:pPr>
      <w:r w:rsidRPr="00266CE2">
        <w:rPr>
          <w:sz w:val="26"/>
          <w:szCs w:val="26"/>
          <w:lang w:val="en-US"/>
        </w:rPr>
        <w:t>Đáng ngạc nhiên, cách khó khăn nhất để tiếp cận thông tin đất đai là qua mạng Internet. Khoảng một nửa (47%) số người tham gia cho biết rằng rất khó để tiếp cận thông tin về đất đai bằng cách tìm kiếm trên mạng Internet. Chỉ có 18% trả lời rằng họ có thể dễ dàng thực hiện điều này thông qua các công cụ tìm kiếm điện tử. Con số này phản ánh sự yếu kém việc thực thi công bố thông tin theo quy định của pháp luật có liên quan. Theo Luật Đất đai và Luật Quy hoạch đô thị, việc công bố thông tin về quy hoạch đất đai cũng như quy hoạch đô thị (cả dự thảo và phê duyệt) cần được thực hiện bắt buộc trên mạng Internet thông qua trang thông tin điện tử của UBND tỉnh hoặc các tổ chức có liên quan. Kết quả này đã được phản ánh trong Bảng 9 với 71% số người tham gia nói rằng dữ liệu trên đó đã lỗi thời hoặc không có thông tin làm cho họ không thể tiếp cận được thông tin cần thiết.</w:t>
      </w:r>
    </w:p>
    <w:p w:rsidR="005B1350" w:rsidRDefault="005B1350" w:rsidP="00054651">
      <w:pPr>
        <w:pStyle w:val="BodyText"/>
        <w:jc w:val="both"/>
        <w:rPr>
          <w:b/>
          <w:sz w:val="22"/>
          <w:lang w:val="en-US"/>
        </w:rPr>
      </w:pPr>
    </w:p>
    <w:p w:rsidR="005B1350" w:rsidRPr="003D1B15" w:rsidRDefault="005B1350" w:rsidP="00054651">
      <w:pPr>
        <w:pStyle w:val="BodyText"/>
        <w:jc w:val="both"/>
        <w:rPr>
          <w:b/>
          <w:sz w:val="22"/>
          <w:lang w:val="en-US"/>
        </w:rPr>
      </w:pPr>
      <w:r>
        <w:rPr>
          <w:b/>
          <w:sz w:val="22"/>
          <w:lang w:val="en-US"/>
        </w:rPr>
        <w:t>Bảng 10</w:t>
      </w:r>
      <w:r w:rsidRPr="003D1B15">
        <w:rPr>
          <w:b/>
          <w:sz w:val="22"/>
          <w:lang w:val="en-US"/>
        </w:rPr>
        <w:t xml:space="preserve">: </w:t>
      </w:r>
      <w:r>
        <w:rPr>
          <w:b/>
          <w:sz w:val="22"/>
          <w:lang w:val="en-US"/>
        </w:rPr>
        <w:t>Chính quyền địa phương đã cung cấp thông tin thế nào?</w:t>
      </w:r>
    </w:p>
    <w:tbl>
      <w:tblPr>
        <w:tblW w:w="9060" w:type="dxa"/>
        <w:jc w:val="center"/>
        <w:tblBorders>
          <w:top w:val="single" w:sz="4" w:space="0" w:color="auto"/>
          <w:bottom w:val="single" w:sz="4" w:space="0" w:color="auto"/>
        </w:tblBorders>
        <w:tblLayout w:type="fixed"/>
        <w:tblLook w:val="04A0" w:firstRow="1" w:lastRow="0" w:firstColumn="1" w:lastColumn="0" w:noHBand="0" w:noVBand="1"/>
      </w:tblPr>
      <w:tblGrid>
        <w:gridCol w:w="2830"/>
        <w:gridCol w:w="993"/>
        <w:gridCol w:w="803"/>
        <w:gridCol w:w="1332"/>
        <w:gridCol w:w="885"/>
        <w:gridCol w:w="1108"/>
        <w:gridCol w:w="1109"/>
      </w:tblGrid>
      <w:tr w:rsidR="005B1350" w:rsidRPr="00D20448" w:rsidTr="0086091E">
        <w:trPr>
          <w:trHeight w:val="300"/>
          <w:tblHeader/>
          <w:jc w:val="center"/>
        </w:trPr>
        <w:tc>
          <w:tcPr>
            <w:tcW w:w="2830" w:type="dxa"/>
            <w:tcBorders>
              <w:top w:val="single" w:sz="4" w:space="0" w:color="auto"/>
              <w:bottom w:val="single" w:sz="4" w:space="0" w:color="auto"/>
            </w:tcBorders>
            <w:shd w:val="clear" w:color="auto" w:fill="auto"/>
            <w:noWrap/>
            <w:vAlign w:val="center"/>
            <w:hideMark/>
          </w:tcPr>
          <w:p w:rsidR="005B1350" w:rsidRPr="00D20448" w:rsidRDefault="0086091E" w:rsidP="0086091E">
            <w:pPr>
              <w:contextualSpacing/>
              <w:jc w:val="right"/>
              <w:rPr>
                <w:b/>
                <w:color w:val="000000"/>
                <w:sz w:val="21"/>
                <w:szCs w:val="21"/>
                <w:lang w:eastAsia="en-AU"/>
              </w:rPr>
            </w:pPr>
            <w:r>
              <w:rPr>
                <w:b/>
                <w:color w:val="000000"/>
                <w:sz w:val="21"/>
                <w:szCs w:val="21"/>
                <w:lang w:eastAsia="en-AU"/>
              </w:rPr>
              <w:t>Khả năng tiếp cận</w:t>
            </w:r>
          </w:p>
        </w:tc>
        <w:tc>
          <w:tcPr>
            <w:tcW w:w="993" w:type="dxa"/>
            <w:tcBorders>
              <w:top w:val="single" w:sz="4" w:space="0" w:color="auto"/>
              <w:bottom w:val="single" w:sz="4" w:space="0" w:color="auto"/>
            </w:tcBorders>
            <w:shd w:val="clear" w:color="auto" w:fill="auto"/>
            <w:noWrap/>
            <w:vAlign w:val="center"/>
            <w:hideMark/>
          </w:tcPr>
          <w:p w:rsidR="005B1350" w:rsidRPr="00D20448" w:rsidRDefault="005B1350" w:rsidP="00054651">
            <w:pPr>
              <w:ind w:left="-170" w:right="-170"/>
              <w:contextualSpacing/>
              <w:jc w:val="center"/>
              <w:rPr>
                <w:b/>
                <w:sz w:val="21"/>
                <w:szCs w:val="21"/>
              </w:rPr>
            </w:pPr>
            <w:r>
              <w:rPr>
                <w:b/>
                <w:sz w:val="21"/>
                <w:szCs w:val="21"/>
              </w:rPr>
              <w:t>Rất khó</w:t>
            </w:r>
          </w:p>
        </w:tc>
        <w:tc>
          <w:tcPr>
            <w:tcW w:w="803" w:type="dxa"/>
            <w:tcBorders>
              <w:top w:val="single" w:sz="4" w:space="0" w:color="auto"/>
              <w:bottom w:val="single" w:sz="4" w:space="0" w:color="auto"/>
            </w:tcBorders>
            <w:shd w:val="clear" w:color="auto" w:fill="auto"/>
            <w:noWrap/>
            <w:vAlign w:val="center"/>
            <w:hideMark/>
          </w:tcPr>
          <w:p w:rsidR="005B1350" w:rsidRPr="00D20448" w:rsidRDefault="005B1350" w:rsidP="00054651">
            <w:pPr>
              <w:ind w:left="-170" w:right="-170"/>
              <w:contextualSpacing/>
              <w:jc w:val="center"/>
              <w:rPr>
                <w:b/>
                <w:sz w:val="21"/>
                <w:szCs w:val="21"/>
              </w:rPr>
            </w:pPr>
            <w:r>
              <w:rPr>
                <w:b/>
                <w:sz w:val="21"/>
                <w:szCs w:val="21"/>
              </w:rPr>
              <w:t>Khó</w:t>
            </w:r>
          </w:p>
        </w:tc>
        <w:tc>
          <w:tcPr>
            <w:tcW w:w="1332" w:type="dxa"/>
            <w:tcBorders>
              <w:top w:val="single" w:sz="4" w:space="0" w:color="auto"/>
              <w:bottom w:val="single" w:sz="4" w:space="0" w:color="auto"/>
            </w:tcBorders>
            <w:shd w:val="clear" w:color="auto" w:fill="auto"/>
            <w:noWrap/>
            <w:vAlign w:val="center"/>
            <w:hideMark/>
          </w:tcPr>
          <w:p w:rsidR="005B1350" w:rsidRPr="00D20448" w:rsidRDefault="005B1350" w:rsidP="00054651">
            <w:pPr>
              <w:ind w:left="-170" w:right="-170"/>
              <w:contextualSpacing/>
              <w:jc w:val="center"/>
              <w:rPr>
                <w:b/>
                <w:sz w:val="21"/>
                <w:szCs w:val="21"/>
              </w:rPr>
            </w:pPr>
            <w:r>
              <w:rPr>
                <w:b/>
                <w:sz w:val="21"/>
                <w:szCs w:val="21"/>
              </w:rPr>
              <w:t>Trung bình</w:t>
            </w:r>
          </w:p>
        </w:tc>
        <w:tc>
          <w:tcPr>
            <w:tcW w:w="885" w:type="dxa"/>
            <w:tcBorders>
              <w:top w:val="single" w:sz="4" w:space="0" w:color="auto"/>
              <w:bottom w:val="single" w:sz="4" w:space="0" w:color="auto"/>
            </w:tcBorders>
            <w:shd w:val="clear" w:color="auto" w:fill="auto"/>
            <w:noWrap/>
            <w:vAlign w:val="center"/>
            <w:hideMark/>
          </w:tcPr>
          <w:p w:rsidR="005B1350" w:rsidRPr="00D20448" w:rsidRDefault="005B1350" w:rsidP="00054651">
            <w:pPr>
              <w:ind w:left="-170" w:right="-170"/>
              <w:contextualSpacing/>
              <w:jc w:val="center"/>
              <w:rPr>
                <w:b/>
                <w:sz w:val="21"/>
                <w:szCs w:val="21"/>
              </w:rPr>
            </w:pPr>
            <w:r>
              <w:rPr>
                <w:b/>
                <w:sz w:val="21"/>
                <w:szCs w:val="21"/>
              </w:rPr>
              <w:t>Dễ</w:t>
            </w:r>
          </w:p>
        </w:tc>
        <w:tc>
          <w:tcPr>
            <w:tcW w:w="1108" w:type="dxa"/>
            <w:tcBorders>
              <w:top w:val="single" w:sz="4" w:space="0" w:color="auto"/>
              <w:bottom w:val="single" w:sz="4" w:space="0" w:color="auto"/>
            </w:tcBorders>
            <w:shd w:val="clear" w:color="auto" w:fill="auto"/>
            <w:noWrap/>
            <w:vAlign w:val="center"/>
            <w:hideMark/>
          </w:tcPr>
          <w:p w:rsidR="005B1350" w:rsidRPr="00D20448" w:rsidRDefault="005B1350" w:rsidP="00054651">
            <w:pPr>
              <w:ind w:left="-170" w:right="-170"/>
              <w:contextualSpacing/>
              <w:jc w:val="center"/>
              <w:rPr>
                <w:b/>
                <w:sz w:val="21"/>
                <w:szCs w:val="21"/>
              </w:rPr>
            </w:pPr>
            <w:r>
              <w:rPr>
                <w:b/>
                <w:sz w:val="21"/>
                <w:szCs w:val="21"/>
              </w:rPr>
              <w:t>Rất dễ</w:t>
            </w:r>
          </w:p>
        </w:tc>
        <w:tc>
          <w:tcPr>
            <w:tcW w:w="1109" w:type="dxa"/>
            <w:tcBorders>
              <w:top w:val="single" w:sz="4" w:space="0" w:color="auto"/>
              <w:bottom w:val="single" w:sz="4" w:space="0" w:color="auto"/>
            </w:tcBorders>
            <w:shd w:val="clear" w:color="auto" w:fill="auto"/>
            <w:noWrap/>
            <w:vAlign w:val="center"/>
            <w:hideMark/>
          </w:tcPr>
          <w:p w:rsidR="005B1350" w:rsidRPr="00D20448" w:rsidRDefault="005B1350" w:rsidP="00054651">
            <w:pPr>
              <w:contextualSpacing/>
              <w:jc w:val="center"/>
              <w:rPr>
                <w:b/>
                <w:color w:val="000000"/>
                <w:sz w:val="21"/>
                <w:szCs w:val="21"/>
                <w:lang w:eastAsia="en-AU"/>
              </w:rPr>
            </w:pPr>
            <w:r>
              <w:rPr>
                <w:b/>
                <w:color w:val="000000"/>
                <w:sz w:val="21"/>
                <w:szCs w:val="21"/>
                <w:lang w:eastAsia="en-AU"/>
              </w:rPr>
              <w:t>Tổng hợp</w:t>
            </w:r>
          </w:p>
        </w:tc>
      </w:tr>
      <w:tr w:rsidR="005B1350" w:rsidRPr="00B81639" w:rsidTr="0086091E">
        <w:trPr>
          <w:trHeight w:val="326"/>
          <w:jc w:val="center"/>
        </w:trPr>
        <w:tc>
          <w:tcPr>
            <w:tcW w:w="2830" w:type="dxa"/>
            <w:tcBorders>
              <w:top w:val="single" w:sz="4" w:space="0" w:color="auto"/>
            </w:tcBorders>
            <w:shd w:val="clear" w:color="auto" w:fill="auto"/>
            <w:noWrap/>
            <w:vAlign w:val="center"/>
          </w:tcPr>
          <w:p w:rsidR="005B1350" w:rsidRPr="00B81639" w:rsidRDefault="005B1350" w:rsidP="0086091E">
            <w:pPr>
              <w:contextualSpacing/>
              <w:jc w:val="right"/>
              <w:rPr>
                <w:color w:val="000000"/>
                <w:sz w:val="21"/>
                <w:szCs w:val="21"/>
                <w:lang w:eastAsia="en-AU"/>
              </w:rPr>
            </w:pPr>
            <w:r>
              <w:rPr>
                <w:color w:val="000000"/>
                <w:sz w:val="21"/>
                <w:szCs w:val="21"/>
                <w:lang w:eastAsia="en-AU"/>
              </w:rPr>
              <w:t>Mạng Internet</w:t>
            </w:r>
          </w:p>
        </w:tc>
        <w:tc>
          <w:tcPr>
            <w:tcW w:w="993" w:type="dxa"/>
            <w:tcBorders>
              <w:top w:val="single" w:sz="4" w:space="0" w:color="auto"/>
            </w:tcBorders>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42</w:t>
            </w:r>
          </w:p>
        </w:tc>
        <w:tc>
          <w:tcPr>
            <w:tcW w:w="803" w:type="dxa"/>
            <w:tcBorders>
              <w:top w:val="single" w:sz="4" w:space="0" w:color="auto"/>
            </w:tcBorders>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15</w:t>
            </w:r>
          </w:p>
        </w:tc>
        <w:tc>
          <w:tcPr>
            <w:tcW w:w="1332" w:type="dxa"/>
            <w:tcBorders>
              <w:top w:val="single" w:sz="4" w:space="0" w:color="auto"/>
            </w:tcBorders>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43</w:t>
            </w:r>
          </w:p>
        </w:tc>
        <w:tc>
          <w:tcPr>
            <w:tcW w:w="885" w:type="dxa"/>
            <w:tcBorders>
              <w:top w:val="single" w:sz="4" w:space="0" w:color="auto"/>
            </w:tcBorders>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7</w:t>
            </w:r>
          </w:p>
        </w:tc>
        <w:tc>
          <w:tcPr>
            <w:tcW w:w="1108" w:type="dxa"/>
            <w:tcBorders>
              <w:top w:val="single" w:sz="4" w:space="0" w:color="auto"/>
            </w:tcBorders>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15</w:t>
            </w:r>
          </w:p>
        </w:tc>
        <w:tc>
          <w:tcPr>
            <w:tcW w:w="1109" w:type="dxa"/>
            <w:tcBorders>
              <w:top w:val="single" w:sz="4" w:space="0" w:color="auto"/>
            </w:tcBorders>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2.49</w:t>
            </w:r>
          </w:p>
        </w:tc>
      </w:tr>
      <w:tr w:rsidR="005B1350" w:rsidRPr="00B81639" w:rsidTr="0086091E">
        <w:trPr>
          <w:trHeight w:val="300"/>
          <w:jc w:val="center"/>
        </w:trPr>
        <w:tc>
          <w:tcPr>
            <w:tcW w:w="2830" w:type="dxa"/>
            <w:shd w:val="clear" w:color="auto" w:fill="auto"/>
            <w:noWrap/>
            <w:vAlign w:val="center"/>
            <w:hideMark/>
          </w:tcPr>
          <w:p w:rsidR="005B1350" w:rsidRPr="00B81639" w:rsidRDefault="005B1350" w:rsidP="0086091E">
            <w:pPr>
              <w:contextualSpacing/>
              <w:jc w:val="right"/>
              <w:rPr>
                <w:color w:val="000000"/>
                <w:sz w:val="21"/>
                <w:szCs w:val="21"/>
                <w:lang w:eastAsia="en-AU"/>
              </w:rPr>
            </w:pPr>
            <w:r>
              <w:rPr>
                <w:color w:val="000000"/>
                <w:sz w:val="21"/>
                <w:szCs w:val="21"/>
                <w:lang w:eastAsia="en-AU"/>
              </w:rPr>
              <w:t>Trên báo chí</w:t>
            </w:r>
          </w:p>
        </w:tc>
        <w:tc>
          <w:tcPr>
            <w:tcW w:w="993" w:type="dxa"/>
            <w:shd w:val="clear" w:color="auto" w:fill="auto"/>
            <w:noWrap/>
            <w:vAlign w:val="center"/>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18</w:t>
            </w:r>
          </w:p>
        </w:tc>
        <w:tc>
          <w:tcPr>
            <w:tcW w:w="803" w:type="dxa"/>
            <w:shd w:val="clear" w:color="auto" w:fill="auto"/>
            <w:noWrap/>
            <w:vAlign w:val="center"/>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18</w:t>
            </w:r>
          </w:p>
        </w:tc>
        <w:tc>
          <w:tcPr>
            <w:tcW w:w="1332" w:type="dxa"/>
            <w:shd w:val="clear" w:color="auto" w:fill="auto"/>
            <w:noWrap/>
            <w:vAlign w:val="center"/>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49</w:t>
            </w:r>
          </w:p>
        </w:tc>
        <w:tc>
          <w:tcPr>
            <w:tcW w:w="885" w:type="dxa"/>
            <w:shd w:val="clear" w:color="auto" w:fill="auto"/>
            <w:noWrap/>
            <w:vAlign w:val="center"/>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16</w:t>
            </w:r>
          </w:p>
        </w:tc>
        <w:tc>
          <w:tcPr>
            <w:tcW w:w="1108" w:type="dxa"/>
            <w:shd w:val="clear" w:color="auto" w:fill="auto"/>
            <w:noWrap/>
            <w:vAlign w:val="center"/>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21</w:t>
            </w:r>
          </w:p>
        </w:tc>
        <w:tc>
          <w:tcPr>
            <w:tcW w:w="1109" w:type="dxa"/>
            <w:shd w:val="clear" w:color="auto" w:fill="auto"/>
            <w:noWrap/>
            <w:vAlign w:val="center"/>
            <w:hideMark/>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3.03</w:t>
            </w:r>
          </w:p>
        </w:tc>
      </w:tr>
      <w:tr w:rsidR="005B1350" w:rsidRPr="00B81639" w:rsidTr="0086091E">
        <w:trPr>
          <w:trHeight w:val="300"/>
          <w:jc w:val="center"/>
        </w:trPr>
        <w:tc>
          <w:tcPr>
            <w:tcW w:w="2830" w:type="dxa"/>
            <w:shd w:val="clear" w:color="auto" w:fill="auto"/>
            <w:noWrap/>
            <w:vAlign w:val="center"/>
          </w:tcPr>
          <w:p w:rsidR="005B1350" w:rsidRPr="00B81639" w:rsidRDefault="005B1350" w:rsidP="0086091E">
            <w:pPr>
              <w:contextualSpacing/>
              <w:jc w:val="right"/>
              <w:rPr>
                <w:color w:val="000000"/>
                <w:sz w:val="21"/>
                <w:szCs w:val="21"/>
                <w:lang w:eastAsia="en-AU"/>
              </w:rPr>
            </w:pPr>
            <w:r>
              <w:rPr>
                <w:color w:val="000000"/>
                <w:sz w:val="21"/>
                <w:szCs w:val="21"/>
                <w:lang w:eastAsia="en-AU"/>
              </w:rPr>
              <w:t>Tờ rơi, áp phích</w:t>
            </w:r>
          </w:p>
        </w:tc>
        <w:tc>
          <w:tcPr>
            <w:tcW w:w="993" w:type="dxa"/>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11</w:t>
            </w:r>
          </w:p>
        </w:tc>
        <w:tc>
          <w:tcPr>
            <w:tcW w:w="803" w:type="dxa"/>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17</w:t>
            </w:r>
          </w:p>
        </w:tc>
        <w:tc>
          <w:tcPr>
            <w:tcW w:w="1332" w:type="dxa"/>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48</w:t>
            </w:r>
          </w:p>
        </w:tc>
        <w:tc>
          <w:tcPr>
            <w:tcW w:w="885" w:type="dxa"/>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19</w:t>
            </w:r>
          </w:p>
        </w:tc>
        <w:tc>
          <w:tcPr>
            <w:tcW w:w="1108" w:type="dxa"/>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27</w:t>
            </w:r>
          </w:p>
        </w:tc>
        <w:tc>
          <w:tcPr>
            <w:tcW w:w="1109" w:type="dxa"/>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3.28</w:t>
            </w:r>
          </w:p>
        </w:tc>
      </w:tr>
      <w:tr w:rsidR="005B1350" w:rsidRPr="00B81639" w:rsidTr="0086091E">
        <w:trPr>
          <w:trHeight w:val="300"/>
          <w:jc w:val="center"/>
        </w:trPr>
        <w:tc>
          <w:tcPr>
            <w:tcW w:w="2830" w:type="dxa"/>
            <w:shd w:val="clear" w:color="auto" w:fill="auto"/>
            <w:noWrap/>
            <w:vAlign w:val="center"/>
          </w:tcPr>
          <w:p w:rsidR="005B1350" w:rsidRPr="00B81639" w:rsidRDefault="005B1350" w:rsidP="0086091E">
            <w:pPr>
              <w:contextualSpacing/>
              <w:jc w:val="right"/>
              <w:rPr>
                <w:color w:val="000000"/>
                <w:sz w:val="21"/>
                <w:szCs w:val="21"/>
                <w:lang w:eastAsia="en-AU"/>
              </w:rPr>
            </w:pPr>
            <w:r>
              <w:rPr>
                <w:color w:val="000000"/>
                <w:sz w:val="21"/>
                <w:szCs w:val="21"/>
                <w:lang w:eastAsia="en-AU"/>
              </w:rPr>
              <w:t>Tiếp cận cán bộ chính quyền</w:t>
            </w:r>
          </w:p>
        </w:tc>
        <w:tc>
          <w:tcPr>
            <w:tcW w:w="993" w:type="dxa"/>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11</w:t>
            </w:r>
          </w:p>
        </w:tc>
        <w:tc>
          <w:tcPr>
            <w:tcW w:w="803" w:type="dxa"/>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11</w:t>
            </w:r>
          </w:p>
        </w:tc>
        <w:tc>
          <w:tcPr>
            <w:tcW w:w="1332" w:type="dxa"/>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32</w:t>
            </w:r>
          </w:p>
        </w:tc>
        <w:tc>
          <w:tcPr>
            <w:tcW w:w="885" w:type="dxa"/>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32</w:t>
            </w:r>
          </w:p>
        </w:tc>
        <w:tc>
          <w:tcPr>
            <w:tcW w:w="1108" w:type="dxa"/>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36</w:t>
            </w:r>
          </w:p>
        </w:tc>
        <w:tc>
          <w:tcPr>
            <w:tcW w:w="1109" w:type="dxa"/>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3.58</w:t>
            </w:r>
          </w:p>
        </w:tc>
      </w:tr>
      <w:tr w:rsidR="005B1350" w:rsidRPr="00B81639" w:rsidTr="0086091E">
        <w:trPr>
          <w:trHeight w:val="300"/>
          <w:jc w:val="center"/>
        </w:trPr>
        <w:tc>
          <w:tcPr>
            <w:tcW w:w="2830" w:type="dxa"/>
            <w:shd w:val="clear" w:color="auto" w:fill="auto"/>
            <w:noWrap/>
            <w:vAlign w:val="center"/>
          </w:tcPr>
          <w:p w:rsidR="005B1350" w:rsidRPr="00B81639" w:rsidRDefault="005B1350" w:rsidP="0086091E">
            <w:pPr>
              <w:contextualSpacing/>
              <w:jc w:val="right"/>
              <w:rPr>
                <w:color w:val="000000"/>
                <w:sz w:val="21"/>
                <w:szCs w:val="21"/>
                <w:lang w:eastAsia="en-AU"/>
              </w:rPr>
            </w:pPr>
            <w:r>
              <w:rPr>
                <w:color w:val="000000"/>
                <w:sz w:val="21"/>
                <w:szCs w:val="21"/>
                <w:lang w:eastAsia="en-AU"/>
              </w:rPr>
              <w:t>Dán trên bảng tin</w:t>
            </w:r>
          </w:p>
        </w:tc>
        <w:tc>
          <w:tcPr>
            <w:tcW w:w="993" w:type="dxa"/>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7</w:t>
            </w:r>
          </w:p>
        </w:tc>
        <w:tc>
          <w:tcPr>
            <w:tcW w:w="803" w:type="dxa"/>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12</w:t>
            </w:r>
          </w:p>
        </w:tc>
        <w:tc>
          <w:tcPr>
            <w:tcW w:w="1332" w:type="dxa"/>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39</w:t>
            </w:r>
          </w:p>
        </w:tc>
        <w:tc>
          <w:tcPr>
            <w:tcW w:w="885" w:type="dxa"/>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28</w:t>
            </w:r>
          </w:p>
        </w:tc>
        <w:tc>
          <w:tcPr>
            <w:tcW w:w="1108" w:type="dxa"/>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36</w:t>
            </w:r>
          </w:p>
        </w:tc>
        <w:tc>
          <w:tcPr>
            <w:tcW w:w="1109" w:type="dxa"/>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3.61</w:t>
            </w:r>
          </w:p>
        </w:tc>
      </w:tr>
      <w:tr w:rsidR="005B1350" w:rsidRPr="00B81639" w:rsidTr="0086091E">
        <w:trPr>
          <w:trHeight w:val="300"/>
          <w:jc w:val="center"/>
        </w:trPr>
        <w:tc>
          <w:tcPr>
            <w:tcW w:w="2830" w:type="dxa"/>
            <w:shd w:val="clear" w:color="auto" w:fill="auto"/>
            <w:noWrap/>
            <w:vAlign w:val="center"/>
          </w:tcPr>
          <w:p w:rsidR="005B1350" w:rsidRPr="00B81639" w:rsidRDefault="005B1350" w:rsidP="0086091E">
            <w:pPr>
              <w:contextualSpacing/>
              <w:jc w:val="right"/>
              <w:rPr>
                <w:color w:val="000000"/>
                <w:sz w:val="21"/>
                <w:szCs w:val="21"/>
                <w:lang w:eastAsia="en-AU"/>
              </w:rPr>
            </w:pPr>
            <w:r>
              <w:rPr>
                <w:color w:val="000000"/>
                <w:sz w:val="21"/>
                <w:szCs w:val="21"/>
                <w:lang w:eastAsia="en-AU"/>
              </w:rPr>
              <w:t>Bản tin phát thanh, truyền hình</w:t>
            </w:r>
          </w:p>
        </w:tc>
        <w:tc>
          <w:tcPr>
            <w:tcW w:w="993" w:type="dxa"/>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7</w:t>
            </w:r>
          </w:p>
        </w:tc>
        <w:tc>
          <w:tcPr>
            <w:tcW w:w="803" w:type="dxa"/>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9</w:t>
            </w:r>
          </w:p>
        </w:tc>
        <w:tc>
          <w:tcPr>
            <w:tcW w:w="1332" w:type="dxa"/>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37</w:t>
            </w:r>
          </w:p>
        </w:tc>
        <w:tc>
          <w:tcPr>
            <w:tcW w:w="885" w:type="dxa"/>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27</w:t>
            </w:r>
          </w:p>
        </w:tc>
        <w:tc>
          <w:tcPr>
            <w:tcW w:w="1108" w:type="dxa"/>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42</w:t>
            </w:r>
          </w:p>
        </w:tc>
        <w:tc>
          <w:tcPr>
            <w:tcW w:w="1109" w:type="dxa"/>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3.72</w:t>
            </w:r>
          </w:p>
        </w:tc>
      </w:tr>
      <w:tr w:rsidR="005B1350" w:rsidRPr="00B81639" w:rsidTr="0086091E">
        <w:trPr>
          <w:trHeight w:val="300"/>
          <w:jc w:val="center"/>
        </w:trPr>
        <w:tc>
          <w:tcPr>
            <w:tcW w:w="2830" w:type="dxa"/>
            <w:shd w:val="clear" w:color="auto" w:fill="auto"/>
            <w:noWrap/>
            <w:vAlign w:val="center"/>
          </w:tcPr>
          <w:p w:rsidR="005B1350" w:rsidRPr="00B81639" w:rsidRDefault="005B1350" w:rsidP="0086091E">
            <w:pPr>
              <w:contextualSpacing/>
              <w:jc w:val="right"/>
              <w:rPr>
                <w:color w:val="000000"/>
                <w:sz w:val="21"/>
                <w:szCs w:val="21"/>
                <w:lang w:eastAsia="en-AU"/>
              </w:rPr>
            </w:pPr>
            <w:r>
              <w:rPr>
                <w:color w:val="000000"/>
                <w:sz w:val="21"/>
                <w:szCs w:val="21"/>
                <w:lang w:eastAsia="en-AU"/>
              </w:rPr>
              <w:t>Họp thôn</w:t>
            </w:r>
          </w:p>
        </w:tc>
        <w:tc>
          <w:tcPr>
            <w:tcW w:w="993" w:type="dxa"/>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4</w:t>
            </w:r>
          </w:p>
        </w:tc>
        <w:tc>
          <w:tcPr>
            <w:tcW w:w="803" w:type="dxa"/>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8</w:t>
            </w:r>
          </w:p>
        </w:tc>
        <w:tc>
          <w:tcPr>
            <w:tcW w:w="1332" w:type="dxa"/>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25</w:t>
            </w:r>
          </w:p>
        </w:tc>
        <w:tc>
          <w:tcPr>
            <w:tcW w:w="885" w:type="dxa"/>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25</w:t>
            </w:r>
          </w:p>
        </w:tc>
        <w:tc>
          <w:tcPr>
            <w:tcW w:w="1108" w:type="dxa"/>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60</w:t>
            </w:r>
          </w:p>
        </w:tc>
        <w:tc>
          <w:tcPr>
            <w:tcW w:w="1109" w:type="dxa"/>
            <w:shd w:val="clear" w:color="auto" w:fill="auto"/>
            <w:noWrap/>
            <w:vAlign w:val="center"/>
          </w:tcPr>
          <w:p w:rsidR="005B1350" w:rsidRPr="00B81639" w:rsidRDefault="005B1350" w:rsidP="00054651">
            <w:pPr>
              <w:contextualSpacing/>
              <w:jc w:val="center"/>
              <w:rPr>
                <w:color w:val="000000"/>
                <w:sz w:val="21"/>
                <w:szCs w:val="21"/>
                <w:lang w:eastAsia="en-AU"/>
              </w:rPr>
            </w:pPr>
            <w:r w:rsidRPr="00B81639">
              <w:rPr>
                <w:color w:val="000000"/>
                <w:sz w:val="21"/>
                <w:szCs w:val="21"/>
                <w:lang w:eastAsia="en-AU"/>
              </w:rPr>
              <w:t>4.06</w:t>
            </w:r>
          </w:p>
        </w:tc>
      </w:tr>
    </w:tbl>
    <w:p w:rsidR="005B1350" w:rsidRDefault="005B1350" w:rsidP="00054651">
      <w:pPr>
        <w:pStyle w:val="BodyText"/>
        <w:jc w:val="both"/>
        <w:rPr>
          <w:lang w:val="en-US"/>
        </w:rPr>
      </w:pPr>
    </w:p>
    <w:p w:rsidR="005B1350" w:rsidRPr="00266CE2" w:rsidRDefault="005B1350" w:rsidP="00054651">
      <w:pPr>
        <w:pStyle w:val="BodyText"/>
        <w:jc w:val="both"/>
        <w:rPr>
          <w:sz w:val="26"/>
          <w:szCs w:val="26"/>
          <w:lang w:val="en-US"/>
        </w:rPr>
      </w:pPr>
      <w:r w:rsidRPr="00266CE2">
        <w:rPr>
          <w:sz w:val="26"/>
          <w:szCs w:val="26"/>
          <w:lang w:val="en-US"/>
        </w:rPr>
        <w:lastRenderedPageBreak/>
        <w:t xml:space="preserve">Kết quả phân tích thông tin từ các cuộc thảo luận nhóm cũng phần nào xác nhận kết quả phân tích trên. Các cuộc tham vấn gợi ý rằng thông tin mà mọi người đã cố gắng tìm kiếm trên các trang thông tin điện tử có liên quan thông qua các công cụ tìm kiếm phổ biến như </w:t>
      </w:r>
      <w:r w:rsidRPr="00266CE2">
        <w:rPr>
          <w:i/>
          <w:sz w:val="26"/>
          <w:szCs w:val="26"/>
          <w:lang w:val="en-US"/>
        </w:rPr>
        <w:t>Google</w:t>
      </w:r>
      <w:r w:rsidRPr="00266CE2">
        <w:rPr>
          <w:sz w:val="26"/>
          <w:szCs w:val="26"/>
          <w:lang w:val="en-US"/>
        </w:rPr>
        <w:t xml:space="preserve"> và </w:t>
      </w:r>
      <w:r w:rsidRPr="00266CE2">
        <w:rPr>
          <w:i/>
          <w:sz w:val="26"/>
          <w:szCs w:val="26"/>
          <w:lang w:val="en-US"/>
        </w:rPr>
        <w:t>Yahoo!,</w:t>
      </w:r>
      <w:r w:rsidRPr="00266CE2">
        <w:rPr>
          <w:sz w:val="26"/>
          <w:szCs w:val="26"/>
          <w:lang w:val="en-US"/>
        </w:rPr>
        <w:t xml:space="preserve"> bao gồm:</w:t>
      </w:r>
    </w:p>
    <w:p w:rsidR="005B1350" w:rsidRPr="00266CE2" w:rsidRDefault="005B1350" w:rsidP="00054651">
      <w:pPr>
        <w:pStyle w:val="BodyText"/>
        <w:jc w:val="both"/>
        <w:rPr>
          <w:sz w:val="26"/>
          <w:szCs w:val="26"/>
          <w:lang w:val="en-US"/>
        </w:rPr>
      </w:pPr>
    </w:p>
    <w:p w:rsidR="005B1350" w:rsidRPr="00266CE2" w:rsidRDefault="005B1350" w:rsidP="00054651">
      <w:pPr>
        <w:pStyle w:val="BodyText"/>
        <w:numPr>
          <w:ilvl w:val="0"/>
          <w:numId w:val="8"/>
        </w:numPr>
        <w:spacing w:after="120"/>
        <w:ind w:left="284" w:hanging="284"/>
        <w:jc w:val="both"/>
        <w:rPr>
          <w:sz w:val="26"/>
          <w:szCs w:val="26"/>
          <w:lang w:val="en-US"/>
        </w:rPr>
      </w:pPr>
      <w:r w:rsidRPr="00266CE2">
        <w:rPr>
          <w:sz w:val="26"/>
          <w:szCs w:val="26"/>
          <w:lang w:val="en-US"/>
        </w:rPr>
        <w:t>Thủ tục hành chính liên quan đến đất đai để xin cấp GCNQSDĐ, thế chấp GCNQSDĐ để tiếp cận các khoản vay từ ngân hàng thương mại, hay mua bán đất;</w:t>
      </w:r>
    </w:p>
    <w:p w:rsidR="005B1350" w:rsidRPr="00266CE2" w:rsidRDefault="005B1350" w:rsidP="00054651">
      <w:pPr>
        <w:pStyle w:val="BodyText"/>
        <w:numPr>
          <w:ilvl w:val="0"/>
          <w:numId w:val="8"/>
        </w:numPr>
        <w:spacing w:after="120"/>
        <w:ind w:left="284" w:hanging="284"/>
        <w:jc w:val="both"/>
        <w:rPr>
          <w:sz w:val="26"/>
          <w:szCs w:val="26"/>
          <w:lang w:val="en-US"/>
        </w:rPr>
      </w:pPr>
      <w:r w:rsidRPr="00266CE2">
        <w:rPr>
          <w:sz w:val="26"/>
          <w:szCs w:val="26"/>
          <w:lang w:val="en-US"/>
        </w:rPr>
        <w:t>Quy hoạch, kế hoạch sử dụng đất, quy hoạch đô thị (gồm cả bản đồ và thông tin mô tả);</w:t>
      </w:r>
    </w:p>
    <w:p w:rsidR="005B1350" w:rsidRPr="00266CE2" w:rsidRDefault="005B1350" w:rsidP="00054651">
      <w:pPr>
        <w:pStyle w:val="BodyText"/>
        <w:numPr>
          <w:ilvl w:val="0"/>
          <w:numId w:val="8"/>
        </w:numPr>
        <w:spacing w:after="120"/>
        <w:ind w:left="284" w:hanging="284"/>
        <w:jc w:val="both"/>
        <w:rPr>
          <w:sz w:val="26"/>
          <w:szCs w:val="26"/>
          <w:lang w:val="en-US"/>
        </w:rPr>
      </w:pPr>
      <w:r w:rsidRPr="00266CE2">
        <w:rPr>
          <w:sz w:val="26"/>
          <w:szCs w:val="26"/>
          <w:lang w:val="en-US"/>
        </w:rPr>
        <w:t>Thông tin về thu hồi đất, bồi thường, tái định cư, nhất là khi một kế hoạch hồi đất, bồi thường, tái định cư mới được thông qua;</w:t>
      </w:r>
    </w:p>
    <w:p w:rsidR="005B1350" w:rsidRPr="00266CE2" w:rsidRDefault="005B1350" w:rsidP="00054651">
      <w:pPr>
        <w:pStyle w:val="BodyText"/>
        <w:numPr>
          <w:ilvl w:val="0"/>
          <w:numId w:val="8"/>
        </w:numPr>
        <w:spacing w:after="120"/>
        <w:ind w:left="284" w:hanging="284"/>
        <w:jc w:val="both"/>
        <w:rPr>
          <w:sz w:val="26"/>
          <w:szCs w:val="26"/>
          <w:lang w:val="en-US"/>
        </w:rPr>
      </w:pPr>
      <w:r w:rsidRPr="00266CE2">
        <w:rPr>
          <w:sz w:val="26"/>
          <w:szCs w:val="26"/>
          <w:lang w:val="en-US"/>
        </w:rPr>
        <w:t>Thông tin về thuê, cho thuê và quảng cáo bán đất;</w:t>
      </w:r>
    </w:p>
    <w:p w:rsidR="005B1350" w:rsidRPr="00266CE2" w:rsidRDefault="005B1350" w:rsidP="00054651">
      <w:pPr>
        <w:pStyle w:val="BodyText"/>
        <w:numPr>
          <w:ilvl w:val="0"/>
          <w:numId w:val="8"/>
        </w:numPr>
        <w:ind w:left="284" w:hanging="284"/>
        <w:jc w:val="both"/>
        <w:rPr>
          <w:sz w:val="26"/>
          <w:szCs w:val="26"/>
          <w:lang w:val="en-US"/>
        </w:rPr>
      </w:pPr>
      <w:r w:rsidRPr="00266CE2">
        <w:rPr>
          <w:sz w:val="26"/>
          <w:szCs w:val="26"/>
          <w:lang w:val="en-US"/>
        </w:rPr>
        <w:t>Thông tin về phí, lệ phí, thuế liên quan đến đất đai bao gồm phí, lệ phí xin cấp GCNQSDĐ, trích lục bản đồ địa chính, trích lục hồ sơ pháp lý của thửa đất, thế chấp, chia tách thửa đất.</w:t>
      </w:r>
    </w:p>
    <w:p w:rsidR="005B1350" w:rsidRPr="00266CE2" w:rsidRDefault="005B1350" w:rsidP="00054651">
      <w:pPr>
        <w:pStyle w:val="BodyText"/>
        <w:spacing w:before="60"/>
        <w:jc w:val="both"/>
        <w:rPr>
          <w:sz w:val="26"/>
          <w:szCs w:val="26"/>
          <w:lang w:val="en-US"/>
        </w:rPr>
      </w:pPr>
    </w:p>
    <w:p w:rsidR="005B1350" w:rsidRPr="00266CE2" w:rsidRDefault="005B1350" w:rsidP="00054651">
      <w:pPr>
        <w:pStyle w:val="BodyText"/>
        <w:jc w:val="both"/>
        <w:rPr>
          <w:sz w:val="26"/>
          <w:szCs w:val="26"/>
          <w:lang w:val="en-US"/>
        </w:rPr>
      </w:pPr>
      <w:r w:rsidRPr="00266CE2">
        <w:rPr>
          <w:sz w:val="26"/>
          <w:szCs w:val="26"/>
          <w:lang w:val="en-US"/>
        </w:rPr>
        <w:t>Ở khía cạnh ngược lại, các cuộc họp theo cách thức truyền thống ở địa phương vẫn là kênh có hiệu quả nhất để mọi người tìm đến và tìm kiếm thông tin, đặc biệt là về quy hoạch sử dụng đất và GCNQSDĐ. Quan sát tại cơ sở cho thấy, tương tự như các làng quê truyền thống khác trong cả nước, người đứng đầu các thôn, bản trong khu vực nghiên cứu thường tổ chức các cuộc họp (chính thức hoặc không chính thức), thường là vào buổi tối để tập hợp dân làng phổ biến thông tin. Trong các cuộc họp này, người dân được cung cấp thông tin tổng quát như quy hoạch sử dụng đất, kế hoạch thực hiện dự án mới và thuế đất ngoài các thông tin khác về lịch mùa vụ.</w:t>
      </w:r>
    </w:p>
    <w:p w:rsidR="005B1350" w:rsidRPr="00266CE2" w:rsidRDefault="005B1350" w:rsidP="00054651">
      <w:pPr>
        <w:pStyle w:val="BodyText"/>
        <w:jc w:val="both"/>
        <w:rPr>
          <w:sz w:val="26"/>
          <w:szCs w:val="26"/>
          <w:lang w:val="en-US"/>
        </w:rPr>
      </w:pPr>
    </w:p>
    <w:p w:rsidR="005B1350" w:rsidRPr="00266CE2" w:rsidRDefault="005B1350" w:rsidP="00054651">
      <w:pPr>
        <w:pStyle w:val="BodyText"/>
        <w:numPr>
          <w:ilvl w:val="0"/>
          <w:numId w:val="1"/>
        </w:numPr>
        <w:rPr>
          <w:b/>
          <w:sz w:val="26"/>
          <w:szCs w:val="26"/>
          <w:lang w:val="en-US"/>
        </w:rPr>
      </w:pPr>
      <w:r w:rsidRPr="00266CE2">
        <w:rPr>
          <w:b/>
          <w:sz w:val="26"/>
          <w:szCs w:val="26"/>
          <w:lang w:val="en-US"/>
        </w:rPr>
        <w:t>THẢO LUẬN VÀ KẾT LUẬN</w:t>
      </w:r>
    </w:p>
    <w:p w:rsidR="005B1350" w:rsidRPr="00266CE2" w:rsidRDefault="005B1350" w:rsidP="00054651">
      <w:pPr>
        <w:pStyle w:val="BodyText"/>
        <w:rPr>
          <w:rFonts w:ascii="Times New Roman Bold" w:hAnsi="Times New Roman Bold"/>
          <w:b/>
          <w:caps/>
          <w:sz w:val="26"/>
          <w:szCs w:val="26"/>
          <w:lang w:val="en-US"/>
        </w:rPr>
      </w:pPr>
    </w:p>
    <w:p w:rsidR="005B1350" w:rsidRPr="00266CE2" w:rsidRDefault="005B1350" w:rsidP="00054651">
      <w:pPr>
        <w:pStyle w:val="BodyText"/>
        <w:jc w:val="both"/>
        <w:rPr>
          <w:sz w:val="26"/>
          <w:szCs w:val="26"/>
          <w:lang w:val="en-US"/>
        </w:rPr>
      </w:pPr>
      <w:r w:rsidRPr="00266CE2">
        <w:rPr>
          <w:sz w:val="26"/>
          <w:szCs w:val="26"/>
          <w:lang w:val="en-US"/>
        </w:rPr>
        <w:t>Phần trên đã mô tả quá trình và trình bày kết quả tham vấn với các bên liên quan tại cấp cơ sở về nhận thức của người dân về quản lý đất đai cũng như khả năng tiếp cận thông tin liên quan đến đất đai của họ. Những phát hiện chính của các cuộc tham vấn này có thể được tóm tắt như sau:</w:t>
      </w:r>
    </w:p>
    <w:p w:rsidR="005B1350" w:rsidRPr="00266CE2" w:rsidRDefault="005B1350" w:rsidP="00054651">
      <w:pPr>
        <w:pStyle w:val="BodyText"/>
        <w:jc w:val="both"/>
        <w:rPr>
          <w:sz w:val="26"/>
          <w:szCs w:val="26"/>
          <w:lang w:val="vi-VN"/>
        </w:rPr>
      </w:pPr>
    </w:p>
    <w:p w:rsidR="005B1350" w:rsidRPr="00266CE2" w:rsidRDefault="005B1350" w:rsidP="00054651">
      <w:pPr>
        <w:pStyle w:val="HTMLPreformatted"/>
        <w:shd w:val="clear" w:color="auto" w:fill="FFFFFF"/>
        <w:jc w:val="both"/>
        <w:rPr>
          <w:rFonts w:ascii="Times New Roman" w:hAnsi="Times New Roman" w:cs="Times New Roman"/>
          <w:color w:val="212121"/>
          <w:sz w:val="26"/>
          <w:szCs w:val="26"/>
        </w:rPr>
      </w:pPr>
      <w:r w:rsidRPr="00266CE2">
        <w:rPr>
          <w:rFonts w:ascii="Times New Roman" w:hAnsi="Times New Roman" w:cs="Times New Roman"/>
          <w:i/>
          <w:color w:val="212121"/>
          <w:sz w:val="26"/>
          <w:szCs w:val="26"/>
        </w:rPr>
        <w:t>Thứ nhất,</w:t>
      </w:r>
      <w:r w:rsidRPr="00266CE2">
        <w:rPr>
          <w:rFonts w:ascii="Times New Roman" w:hAnsi="Times New Roman" w:cs="Times New Roman"/>
          <w:color w:val="212121"/>
          <w:sz w:val="26"/>
          <w:szCs w:val="26"/>
        </w:rPr>
        <w:t xml:space="preserve"> kết quả phân tích cho thấy quyền sử dụng đất có ý nghĩa quan trọng đối với người dân ở cấp cơ sở, kể cả thanh thị hay nông thôn; đã được cấp hay chưa được cấp GCNQSDĐ, dù là nam hay nữ. Việc cấp GCNQSDĐ tạo ra khung pháp lý để Nhà nước quản lý và bảo hộ quyền sử dụng đất của các bên liên quan ở mức cao nhất, đầy đủ nhất. GCNQSDĐ là chứng thư pháp lý, bảo đảm quyền tiếp cận đất đai, thông tin và các dịch vụ đất đai của người sử dụng đất.</w:t>
      </w:r>
    </w:p>
    <w:p w:rsidR="005B1350" w:rsidRPr="00266CE2" w:rsidRDefault="005B1350" w:rsidP="00054651">
      <w:pPr>
        <w:pStyle w:val="BodyText"/>
        <w:jc w:val="both"/>
        <w:rPr>
          <w:sz w:val="26"/>
          <w:szCs w:val="26"/>
          <w:lang w:val="vi-VN"/>
        </w:rPr>
      </w:pPr>
    </w:p>
    <w:p w:rsidR="005B1350" w:rsidRPr="00266CE2" w:rsidRDefault="005B1350" w:rsidP="00054651">
      <w:pPr>
        <w:pStyle w:val="HTMLPreformatted"/>
        <w:shd w:val="clear" w:color="auto" w:fill="FFFFFF"/>
        <w:jc w:val="both"/>
        <w:rPr>
          <w:rFonts w:ascii="Times New Roman" w:hAnsi="Times New Roman" w:cs="Times New Roman"/>
          <w:color w:val="212121"/>
          <w:sz w:val="26"/>
          <w:szCs w:val="26"/>
        </w:rPr>
      </w:pPr>
      <w:r w:rsidRPr="00266CE2">
        <w:rPr>
          <w:rFonts w:ascii="Times New Roman" w:hAnsi="Times New Roman" w:cs="Times New Roman"/>
          <w:i/>
          <w:color w:val="212121"/>
          <w:sz w:val="26"/>
          <w:szCs w:val="26"/>
        </w:rPr>
        <w:t>Thứ hai,</w:t>
      </w:r>
      <w:r w:rsidRPr="00266CE2">
        <w:rPr>
          <w:rFonts w:ascii="Times New Roman" w:hAnsi="Times New Roman" w:cs="Times New Roman"/>
          <w:color w:val="212121"/>
          <w:sz w:val="26"/>
          <w:szCs w:val="26"/>
        </w:rPr>
        <w:t xml:space="preserve"> kết quả đã chỉ ra nhu cầu lớn từ người dân ở cơ sở về thông tin liên quan đến đất đai, cả về thông tin bản đồ (không gian) và các tài liệu khác có liên quan. Kết quả phân tích cho thấy thông tin đất đai đóng một vai trò quan trọng đối với các chủ sử dụng đất để đưa ra quyết định. Tuy nhiên, khả năng tiếp cận thông tin đất đai vẫn còn rất hạn chế, đặc biệt là đối với dữ liệu không gian (bản đồ địa chinh), thông tin quy hoạch sử dụng đất và thông tin về giá đất. Theo Luật Đất đai, thông tin về thủ tục hành chính đối với giấy chứng nhận quyền sử dụng đất, bản đồ địa chính, quy hoạch sử dụng đất và giá </w:t>
      </w:r>
      <w:r w:rsidRPr="00266CE2">
        <w:rPr>
          <w:rFonts w:ascii="Times New Roman" w:hAnsi="Times New Roman" w:cs="Times New Roman"/>
          <w:color w:val="212121"/>
          <w:sz w:val="26"/>
          <w:szCs w:val="26"/>
        </w:rPr>
        <w:lastRenderedPageBreak/>
        <w:t>đất phải được công bố theo một số cách thức và hình thức để người dân dễ dàng tiếp cận công khai và miễn phí. Hệ thống quản lý đất cần đảm bảo thông tin được cập nhật thường xuyên, sẵn sàng với sự phát triển về cơ sở hạ tầng phù hợp nhằm cung cấp thông tin cho người dân một cách hiệu quả.</w:t>
      </w:r>
    </w:p>
    <w:p w:rsidR="005B1350" w:rsidRPr="00266CE2" w:rsidRDefault="005B1350" w:rsidP="00054651">
      <w:pPr>
        <w:pStyle w:val="BodyText"/>
        <w:jc w:val="both"/>
        <w:rPr>
          <w:i/>
          <w:sz w:val="26"/>
          <w:szCs w:val="26"/>
          <w:lang w:val="vi-VN"/>
        </w:rPr>
      </w:pPr>
    </w:p>
    <w:p w:rsidR="005B1350" w:rsidRPr="00266CE2" w:rsidRDefault="005B1350" w:rsidP="00054651">
      <w:pPr>
        <w:pStyle w:val="BodyText"/>
        <w:jc w:val="both"/>
        <w:rPr>
          <w:sz w:val="26"/>
          <w:szCs w:val="26"/>
          <w:lang w:val="vi-VN"/>
        </w:rPr>
      </w:pPr>
      <w:r w:rsidRPr="00266CE2">
        <w:rPr>
          <w:sz w:val="26"/>
          <w:szCs w:val="26"/>
          <w:lang w:val="vi-VN"/>
        </w:rPr>
        <w:t xml:space="preserve">Phân tích cho thấy chính những hạn chế trong quản lý đất đai đã trở thành rào cản đối với việc tiếp cận thông tin đất đai của người dân. Lý do gồm: thiếu thông tin, thông tin không được cập nhật, thuật ngữ sử dụng phức tạp, cần nộp phí và phải xin phép. Ngoài ra, việc sử dụng mạng Internet để cung cấp thông tin đất đai chưa được thực hiện hiệu quả. Đến năm 2013, đã có hơn 31 triệu người sử dụng mạng Internet tại Việt Nam </w:t>
      </w:r>
      <w:r w:rsidRPr="00266CE2">
        <w:rPr>
          <w:noProof/>
          <w:sz w:val="26"/>
          <w:szCs w:val="26"/>
          <w:lang w:val="vi-VN"/>
        </w:rPr>
        <w:t>(Bộ TTTT, 2013)</w:t>
      </w:r>
      <w:r w:rsidRPr="00266CE2">
        <w:rPr>
          <w:sz w:val="26"/>
          <w:szCs w:val="26"/>
          <w:lang w:val="vi-VN"/>
        </w:rPr>
        <w:t>. Con số này cho thấy tiềm năng cung cấp thông tin trên Internet là rất lớn vì các trang thông tin điện tử cho phép truy cập nhanh chông thông tin đơn giản chỉ với một kết nối mạng. Mặt khác, pháp luật có liên quan đã quy định các loại thông tin phải được công bố trực tuyến hoặc không trực tuyến. Trên thực tế, mặc dù số lượng thuê bao Internet trong nước tăng nhanh nhưng việc sử dụng công nghệ này để phổ biến thông tin đất đai vẫn còn hạn chế. Đầu tư bài bản một cơ sở hạ tầng hiệu quả như cổng thông tin đất đai sẽ làm cho việc tiếp cận thông tin đất đai dễ dàng hơn.</w:t>
      </w:r>
    </w:p>
    <w:p w:rsidR="005B1350" w:rsidRPr="00266CE2" w:rsidRDefault="005B1350" w:rsidP="00054651">
      <w:pPr>
        <w:pStyle w:val="BodyText"/>
        <w:jc w:val="both"/>
        <w:rPr>
          <w:i/>
          <w:sz w:val="26"/>
          <w:szCs w:val="26"/>
          <w:lang w:val="vi-VN"/>
        </w:rPr>
      </w:pPr>
    </w:p>
    <w:p w:rsidR="005B1350" w:rsidRPr="00266CE2" w:rsidRDefault="005B1350" w:rsidP="00054651">
      <w:pPr>
        <w:pStyle w:val="BodyText"/>
        <w:jc w:val="both"/>
        <w:rPr>
          <w:sz w:val="26"/>
          <w:szCs w:val="26"/>
        </w:rPr>
      </w:pPr>
      <w:r w:rsidRPr="00266CE2">
        <w:rPr>
          <w:i/>
          <w:sz w:val="26"/>
          <w:szCs w:val="26"/>
          <w:lang w:val="vi-VN"/>
        </w:rPr>
        <w:t>Thứ ba,</w:t>
      </w:r>
      <w:r w:rsidRPr="00266CE2">
        <w:rPr>
          <w:sz w:val="26"/>
          <w:szCs w:val="26"/>
          <w:lang w:val="vi-VN"/>
        </w:rPr>
        <w:t xml:space="preserve"> chính quyền địa phương và cán bộ địa phương cần được tăng cường năng lực nhằm cải thiện khả năng phục vụ việc tiếp cận thông tin đất đai cho người dân. Điều này bao gồm cả việc đào tạo, tập huấn về dịch vụ khách hàng. Lợi ích của Nhà nước là điều này có thể làm giảm tỷ lệ người chuyển nhượng đất đai mà không qua đăng ký, từ đó đưa họ vào nền kinh tế chính thức.</w:t>
      </w:r>
    </w:p>
    <w:p w:rsidR="005B1350" w:rsidRPr="00266CE2" w:rsidRDefault="005B1350" w:rsidP="00054651">
      <w:pPr>
        <w:pStyle w:val="BodyText"/>
        <w:jc w:val="both"/>
        <w:rPr>
          <w:i/>
          <w:sz w:val="26"/>
          <w:szCs w:val="26"/>
        </w:rPr>
      </w:pPr>
    </w:p>
    <w:p w:rsidR="005B1350" w:rsidRPr="00266CE2" w:rsidRDefault="005B1350" w:rsidP="00054651">
      <w:pPr>
        <w:pStyle w:val="HTMLPreformatted"/>
        <w:shd w:val="clear" w:color="auto" w:fill="FFFFFF"/>
        <w:jc w:val="both"/>
        <w:rPr>
          <w:rFonts w:ascii="Times New Roman" w:hAnsi="Times New Roman" w:cs="Times New Roman"/>
          <w:color w:val="212121"/>
          <w:sz w:val="26"/>
          <w:szCs w:val="26"/>
        </w:rPr>
      </w:pPr>
      <w:r w:rsidRPr="00266CE2">
        <w:rPr>
          <w:rFonts w:ascii="Times New Roman" w:hAnsi="Times New Roman" w:cs="Times New Roman"/>
          <w:i/>
          <w:color w:val="212121"/>
          <w:sz w:val="26"/>
          <w:szCs w:val="26"/>
        </w:rPr>
        <w:t>Cuối cùng,</w:t>
      </w:r>
      <w:r w:rsidRPr="00266CE2">
        <w:rPr>
          <w:rFonts w:ascii="Times New Roman" w:hAnsi="Times New Roman" w:cs="Times New Roman"/>
          <w:color w:val="212121"/>
          <w:sz w:val="26"/>
          <w:szCs w:val="26"/>
        </w:rPr>
        <w:t xml:space="preserve"> chiến dịch nâng cao nhận thức cộng đồng cần được thực hiện thường xuyên hơn </w:t>
      </w:r>
      <w:r w:rsidRPr="00266CE2">
        <w:rPr>
          <w:rFonts w:ascii="Times New Roman" w:hAnsi="Times New Roman" w:cs="Times New Roman"/>
          <w:color w:val="212121"/>
          <w:sz w:val="26"/>
          <w:szCs w:val="26"/>
          <w:lang w:val="da-DK"/>
        </w:rPr>
        <w:t>cho người dân</w:t>
      </w:r>
      <w:r w:rsidRPr="00266CE2">
        <w:rPr>
          <w:rFonts w:ascii="Times New Roman" w:hAnsi="Times New Roman" w:cs="Times New Roman"/>
          <w:color w:val="212121"/>
          <w:sz w:val="26"/>
          <w:szCs w:val="26"/>
        </w:rPr>
        <w:t xml:space="preserve"> ở địa phương. Ban đầu, cá nhân và hộ gia đình cần nhận thức được tầm quan trọng của việc cấp GCNQSDĐ để đảm bảo quyền sử dụng đất của họ. Người sử dụng đất cũng cần được thông báo đầy đủ các quyền, hạn chế và trách nhiệm để tránh rủi ro trong việc thực hiện quyền sử dụng đất. Chẳng hạn, tham gia vào quá trình đăng ký đất đai và GCNQSDĐ sẽ làm giảm các tranh chấp đất đai và khiếu nại thường xảy ra ở cấp cơ sở. Ở cấp cao hơn, người sử dụng đất nên được hướng dẫn tìm kiếm và yêu cầu thông tin về đất đai mà họ cần bằng cách sử dụng các trung tâm hành chính công/văn phòng một cửa cũng như qua cổng thông tin đất đai trên mạng Internet.</w:t>
      </w:r>
    </w:p>
    <w:p w:rsidR="005B1350" w:rsidRPr="00266CE2" w:rsidRDefault="005B1350" w:rsidP="00054651">
      <w:pPr>
        <w:pStyle w:val="BodyText"/>
        <w:jc w:val="both"/>
        <w:rPr>
          <w:i/>
          <w:sz w:val="26"/>
          <w:szCs w:val="26"/>
          <w:lang w:val="vi-VN"/>
        </w:rPr>
      </w:pPr>
    </w:p>
    <w:p w:rsidR="005B1350" w:rsidRPr="00266CE2" w:rsidRDefault="005B1350" w:rsidP="00054651">
      <w:pPr>
        <w:pStyle w:val="HTMLPreformatted"/>
        <w:shd w:val="clear" w:color="auto" w:fill="FFFFFF"/>
        <w:jc w:val="both"/>
        <w:rPr>
          <w:rFonts w:ascii="Times New Roman" w:hAnsi="Times New Roman" w:cs="Times New Roman"/>
          <w:color w:val="212121"/>
          <w:sz w:val="26"/>
          <w:szCs w:val="26"/>
        </w:rPr>
      </w:pPr>
      <w:r w:rsidRPr="00266CE2">
        <w:rPr>
          <w:rFonts w:ascii="Times New Roman" w:hAnsi="Times New Roman" w:cs="Times New Roman"/>
          <w:color w:val="212121"/>
          <w:sz w:val="26"/>
          <w:szCs w:val="26"/>
        </w:rPr>
        <w:t>Bài báo này đã trình bày kết quả các cuộc tham vấn với người dân đến nhận thức về quản lý đất đai. Người dân sống trong khu vực nghiên cứu đều nhận định thấy có được GCNQSDĐ và tham gia đầy đủ các dịch vụ đất đai là điều quan trọng để bảo vệ quyền của họ. Nhu cầu tiếp cận đất đai, thông tin về đất đai và các dịch vụ đất đai gần đây đã tăng lên đáng kể. Tuy nhiên, mức độ tiếp cận thông tin đất đai vẫn còn hạn chế. Vẫn còn thiếu một “liên kết thông minh” giữa các cơ quan hành chính nhà nước để đảm bảo tiếp cận và chia sẻ dữ liệu một cách thuận lợi và hiệu quả.</w:t>
      </w:r>
    </w:p>
    <w:p w:rsidR="005B1350" w:rsidRPr="00266CE2" w:rsidRDefault="005B1350" w:rsidP="00054651">
      <w:pPr>
        <w:pStyle w:val="HTMLPreformatted"/>
        <w:shd w:val="clear" w:color="auto" w:fill="FFFFFF"/>
        <w:jc w:val="both"/>
        <w:rPr>
          <w:rFonts w:ascii="Times New Roman" w:hAnsi="Times New Roman" w:cs="Times New Roman"/>
          <w:color w:val="212121"/>
          <w:sz w:val="26"/>
          <w:szCs w:val="26"/>
        </w:rPr>
      </w:pPr>
    </w:p>
    <w:p w:rsidR="005B1350" w:rsidRPr="00266CE2" w:rsidRDefault="005B1350" w:rsidP="00054651">
      <w:pPr>
        <w:pStyle w:val="HTMLPreformatted"/>
        <w:shd w:val="clear" w:color="auto" w:fill="FFFFFF"/>
        <w:jc w:val="both"/>
        <w:rPr>
          <w:rFonts w:ascii="Times New Roman" w:hAnsi="Times New Roman" w:cs="Times New Roman"/>
          <w:color w:val="212121"/>
          <w:sz w:val="26"/>
          <w:szCs w:val="26"/>
        </w:rPr>
      </w:pPr>
      <w:r w:rsidRPr="00266CE2">
        <w:rPr>
          <w:rFonts w:ascii="Times New Roman" w:hAnsi="Times New Roman" w:cs="Times New Roman"/>
          <w:color w:val="212121"/>
          <w:sz w:val="26"/>
          <w:szCs w:val="26"/>
        </w:rPr>
        <w:t>Các kết quả về nhận thức về những hạn chế cùng với việc chỉ ra các rào cản sẽ giúp cải thiện hệ thống quản lý đất đai, cải cách các thủ tục hành chính về đất đai, nâng cao nhận thức cho người dân địa phương cũng như nâng cao năng lực cho cán bộ.</w:t>
      </w:r>
    </w:p>
    <w:p w:rsidR="005B1350" w:rsidRPr="00975718" w:rsidRDefault="005B1350" w:rsidP="00054651">
      <w:pPr>
        <w:pStyle w:val="BodyText"/>
        <w:rPr>
          <w:b/>
          <w:lang w:val="vi-VN"/>
        </w:rPr>
      </w:pPr>
    </w:p>
    <w:p w:rsidR="0086091E" w:rsidRDefault="0086091E" w:rsidP="00054651">
      <w:pPr>
        <w:pStyle w:val="BodyText"/>
        <w:rPr>
          <w:b/>
          <w:lang w:val="en-US"/>
        </w:rPr>
      </w:pPr>
    </w:p>
    <w:p w:rsidR="0086091E" w:rsidRDefault="0086091E" w:rsidP="00054651">
      <w:pPr>
        <w:pStyle w:val="BodyText"/>
        <w:rPr>
          <w:b/>
          <w:lang w:val="en-US"/>
        </w:rPr>
      </w:pPr>
    </w:p>
    <w:p w:rsidR="0086091E" w:rsidRDefault="0086091E" w:rsidP="00054651">
      <w:pPr>
        <w:pStyle w:val="BodyText"/>
        <w:rPr>
          <w:b/>
          <w:lang w:val="en-US"/>
        </w:rPr>
      </w:pPr>
    </w:p>
    <w:p w:rsidR="005B1350" w:rsidRDefault="005B1350" w:rsidP="00054651">
      <w:pPr>
        <w:pStyle w:val="BodyText"/>
        <w:rPr>
          <w:b/>
          <w:lang w:val="en-US"/>
        </w:rPr>
      </w:pPr>
      <w:r>
        <w:rPr>
          <w:b/>
          <w:lang w:val="en-US"/>
        </w:rPr>
        <w:lastRenderedPageBreak/>
        <w:t>TÀI LIỆU THAM KHẢO</w:t>
      </w:r>
    </w:p>
    <w:p w:rsidR="005B1350" w:rsidRDefault="005B1350">
      <w:pPr>
        <w:rPr>
          <w:sz w:val="24"/>
          <w:lang w:val="en-US"/>
        </w:rPr>
      </w:pPr>
    </w:p>
    <w:p w:rsidR="005B1350" w:rsidRPr="0036131E" w:rsidRDefault="005B1350" w:rsidP="00054651">
      <w:pPr>
        <w:pStyle w:val="EndNoteBibliography"/>
        <w:spacing w:after="0"/>
        <w:ind w:left="709" w:hanging="709"/>
      </w:pPr>
      <w:bookmarkStart w:id="0" w:name="_ENREF_1"/>
      <w:r w:rsidRPr="0036131E">
        <w:t xml:space="preserve">BINSWANGER-MKHIZE, H., BOURGUIGNON, C. &amp; BRINK, R. V. D. 2009. </w:t>
      </w:r>
      <w:r w:rsidRPr="0036131E">
        <w:rPr>
          <w:i/>
        </w:rPr>
        <w:t xml:space="preserve">Agricultural Land Redistribution: Toward Greater Consensus, </w:t>
      </w:r>
      <w:r w:rsidRPr="0036131E">
        <w:t>Washington, DC, World Bank.</w:t>
      </w:r>
      <w:bookmarkEnd w:id="0"/>
    </w:p>
    <w:p w:rsidR="005B1350" w:rsidRPr="0036131E" w:rsidRDefault="005B1350" w:rsidP="00054651">
      <w:pPr>
        <w:pStyle w:val="EndNoteBibliography"/>
        <w:spacing w:after="0"/>
        <w:ind w:left="709" w:hanging="709"/>
      </w:pPr>
      <w:bookmarkStart w:id="1" w:name="_ENREF_2"/>
      <w:r w:rsidRPr="0036131E">
        <w:t xml:space="preserve">BỘ TTTT 2013. </w:t>
      </w:r>
      <w:r w:rsidRPr="0036131E">
        <w:rPr>
          <w:i/>
        </w:rPr>
        <w:t xml:space="preserve">Sách Trắng Việt Nam về Công nghệ thông tin - truyền thông 2013, </w:t>
      </w:r>
      <w:r w:rsidRPr="0036131E">
        <w:t>Hà Nôi, Việt Nam, Nhà xuất bản Thông tin và Truyền thông.</w:t>
      </w:r>
      <w:bookmarkEnd w:id="1"/>
    </w:p>
    <w:p w:rsidR="005B1350" w:rsidRPr="0036131E" w:rsidRDefault="005B1350" w:rsidP="00054651">
      <w:pPr>
        <w:pStyle w:val="EndNoteBibliography"/>
        <w:spacing w:after="0"/>
        <w:ind w:left="709" w:hanging="709"/>
      </w:pPr>
      <w:bookmarkStart w:id="2" w:name="_ENREF_3"/>
      <w:r w:rsidRPr="0036131E">
        <w:t>DEPOCEN, NHTG, UKAID &amp; VTP 2014. Land Transparency Study: Synthesis Report. Hà Nôi, Việt Nam.</w:t>
      </w:r>
      <w:bookmarkEnd w:id="2"/>
    </w:p>
    <w:p w:rsidR="005B1350" w:rsidRPr="0036131E" w:rsidRDefault="005B1350" w:rsidP="00054651">
      <w:pPr>
        <w:pStyle w:val="EndNoteBibliography"/>
        <w:spacing w:after="0"/>
        <w:ind w:left="709" w:hanging="709"/>
      </w:pPr>
      <w:bookmarkStart w:id="3" w:name="_ENREF_4"/>
      <w:r w:rsidRPr="0036131E">
        <w:t xml:space="preserve">ĐSQ ĐAN MẠCH, ĐSQ THUỴ ĐIỂN &amp; NHTG 2011. </w:t>
      </w:r>
      <w:r w:rsidRPr="0036131E">
        <w:rPr>
          <w:i/>
        </w:rPr>
        <w:t xml:space="preserve">Recognizing and Reducing Corruption Risks in Land Management in Vietnam (Reference book), </w:t>
      </w:r>
      <w:r w:rsidRPr="0036131E">
        <w:t>Hà Nôi, Việt Nam, Nhà xuất bản Chính trị - Sự thật.</w:t>
      </w:r>
      <w:bookmarkEnd w:id="3"/>
    </w:p>
    <w:p w:rsidR="005B1350" w:rsidRPr="0036131E" w:rsidRDefault="005B1350" w:rsidP="00054651">
      <w:pPr>
        <w:pStyle w:val="EndNoteBibliography"/>
        <w:spacing w:after="0"/>
        <w:ind w:left="709" w:hanging="709"/>
      </w:pPr>
      <w:bookmarkStart w:id="4" w:name="_ENREF_5"/>
      <w:r w:rsidRPr="0036131E">
        <w:t xml:space="preserve">FAO 2012. </w:t>
      </w:r>
      <w:r w:rsidRPr="0036131E">
        <w:rPr>
          <w:i/>
        </w:rPr>
        <w:t xml:space="preserve">Voluntary Guidelines on the Responsible Governance of Tenure of Land, Fisheries and Forests in the Context of National Food Security, </w:t>
      </w:r>
      <w:r w:rsidRPr="0036131E">
        <w:t>Rome, Italy, FAO.</w:t>
      </w:r>
      <w:bookmarkEnd w:id="4"/>
    </w:p>
    <w:p w:rsidR="005B1350" w:rsidRPr="0036131E" w:rsidRDefault="005B1350" w:rsidP="00054651">
      <w:pPr>
        <w:pStyle w:val="EndNoteBibliography"/>
        <w:spacing w:after="0"/>
        <w:ind w:left="709" w:hanging="709"/>
      </w:pPr>
      <w:bookmarkStart w:id="5" w:name="_ENREF_6"/>
      <w:r w:rsidRPr="0036131E">
        <w:rPr>
          <w:lang w:val="fr-FR"/>
        </w:rPr>
        <w:t xml:space="preserve">MALESKY, E., DAU, T., PHAM, T., LE, H., NGUYEN, L. &amp; NGUYEN, H. 2015. </w:t>
      </w:r>
      <w:r w:rsidRPr="0036131E">
        <w:rPr>
          <w:i/>
        </w:rPr>
        <w:t xml:space="preserve">The 2014 Vietnam Provincial Competitiveness Index: Measuring Economic Governance for Business Development, </w:t>
      </w:r>
      <w:r w:rsidRPr="0036131E">
        <w:t>Hanoi, Vietnam, Labour Publishing House.</w:t>
      </w:r>
      <w:bookmarkEnd w:id="5"/>
    </w:p>
    <w:p w:rsidR="005B1350" w:rsidRPr="0036131E" w:rsidRDefault="005B1350" w:rsidP="00054651">
      <w:pPr>
        <w:pStyle w:val="EndNoteBibliography"/>
        <w:spacing w:after="0"/>
        <w:ind w:left="709" w:hanging="709"/>
      </w:pPr>
      <w:bookmarkStart w:id="6" w:name="_ENREF_7"/>
      <w:r w:rsidRPr="0036131E">
        <w:t xml:space="preserve">MARTINI, M. 2012. Overview of corruption and anti-corruption in Vietnam. </w:t>
      </w:r>
      <w:r w:rsidRPr="0036131E">
        <w:rPr>
          <w:i/>
        </w:rPr>
        <w:t>U4 Expert Answer,</w:t>
      </w:r>
      <w:r w:rsidRPr="0036131E">
        <w:t xml:space="preserve"> 315.</w:t>
      </w:r>
      <w:bookmarkEnd w:id="6"/>
    </w:p>
    <w:p w:rsidR="005B1350" w:rsidRPr="0036131E" w:rsidRDefault="005B1350" w:rsidP="00054651">
      <w:pPr>
        <w:pStyle w:val="EndNoteBibliography"/>
        <w:spacing w:after="0"/>
        <w:ind w:left="709" w:hanging="709"/>
      </w:pPr>
      <w:bookmarkStart w:id="7" w:name="_ENREF_8"/>
      <w:r w:rsidRPr="0036131E">
        <w:t xml:space="preserve">MAXWELL, D. &amp; WIEBE, K. 1999. Land Tenure and Food Security: Exploring Dynamic Linkages. </w:t>
      </w:r>
      <w:r w:rsidRPr="0036131E">
        <w:rPr>
          <w:i/>
        </w:rPr>
        <w:t>Development and Change,</w:t>
      </w:r>
      <w:r w:rsidRPr="0036131E">
        <w:t xml:space="preserve"> 30</w:t>
      </w:r>
      <w:r w:rsidRPr="0036131E">
        <w:rPr>
          <w:b/>
        </w:rPr>
        <w:t>,</w:t>
      </w:r>
      <w:r w:rsidRPr="0036131E">
        <w:t xml:space="preserve"> 825-849.</w:t>
      </w:r>
      <w:bookmarkEnd w:id="7"/>
    </w:p>
    <w:p w:rsidR="005B1350" w:rsidRPr="0036131E" w:rsidRDefault="005B1350" w:rsidP="00054651">
      <w:pPr>
        <w:pStyle w:val="EndNoteBibliography"/>
        <w:spacing w:after="0"/>
        <w:ind w:left="709" w:hanging="709"/>
      </w:pPr>
      <w:bookmarkStart w:id="8" w:name="_ENREF_9"/>
      <w:r w:rsidRPr="0036131E">
        <w:t xml:space="preserve">MUGGENHUBER, G. 2003. Spatial Information for Sustainable Resource Management. </w:t>
      </w:r>
      <w:r w:rsidRPr="0036131E">
        <w:rPr>
          <w:i/>
        </w:rPr>
        <w:t>FIG Article of the Month,</w:t>
      </w:r>
      <w:r w:rsidRPr="0036131E">
        <w:t xml:space="preserve"> 2003</w:t>
      </w:r>
      <w:r w:rsidRPr="0036131E">
        <w:rPr>
          <w:b/>
        </w:rPr>
        <w:t>,</w:t>
      </w:r>
      <w:r w:rsidRPr="0036131E">
        <w:t xml:space="preserve"> 1-18.</w:t>
      </w:r>
      <w:bookmarkEnd w:id="8"/>
    </w:p>
    <w:p w:rsidR="005B1350" w:rsidRPr="0036131E" w:rsidRDefault="005B1350" w:rsidP="00054651">
      <w:pPr>
        <w:pStyle w:val="EndNoteBibliography"/>
        <w:spacing w:after="0"/>
        <w:ind w:left="709" w:hanging="709"/>
      </w:pPr>
      <w:bookmarkStart w:id="9" w:name="_ENREF_10"/>
      <w:r w:rsidRPr="0036131E">
        <w:t>NHTG 2009. Vietnam Development Report 2010 - Modern Institutions. Hà Nôi, Việt Nam: Joint Donor Report to the Vietnam Consultative Group Meeting (December 3-4, 2009).</w:t>
      </w:r>
      <w:bookmarkEnd w:id="9"/>
    </w:p>
    <w:p w:rsidR="005B1350" w:rsidRPr="0036131E" w:rsidRDefault="005B1350" w:rsidP="00054651">
      <w:pPr>
        <w:pStyle w:val="EndNoteBibliography"/>
        <w:spacing w:after="0"/>
        <w:ind w:left="709" w:hanging="709"/>
      </w:pPr>
      <w:bookmarkStart w:id="10" w:name="_ENREF_11"/>
      <w:r w:rsidRPr="0036131E">
        <w:t>NHTG 2010. Vietnam Development Report 2011 - Natural Resources Management. Hà Nôi, Việt Nam: Joint Development Partner Report to the Vietnam Consultative Group Meeting (December 7-8, 2010).</w:t>
      </w:r>
      <w:bookmarkEnd w:id="10"/>
    </w:p>
    <w:p w:rsidR="005B1350" w:rsidRPr="0036131E" w:rsidRDefault="005B1350" w:rsidP="00054651">
      <w:pPr>
        <w:pStyle w:val="EndNoteBibliography"/>
        <w:spacing w:after="0"/>
        <w:ind w:left="709" w:hanging="709"/>
      </w:pPr>
      <w:bookmarkStart w:id="11" w:name="_ENREF_12"/>
      <w:r w:rsidRPr="0036131E">
        <w:t>NHTG 2011. Report of the Study on National Spatial Data Infrastructure Development Strategy for Vietnam. Hà Nôi, Việt Nam: Joint Working Group of the World Bank and MONRE.</w:t>
      </w:r>
      <w:bookmarkEnd w:id="11"/>
    </w:p>
    <w:p w:rsidR="005B1350" w:rsidRPr="0036131E" w:rsidRDefault="005B1350" w:rsidP="00054651">
      <w:pPr>
        <w:pStyle w:val="EndNoteBibliography"/>
        <w:spacing w:after="0"/>
        <w:ind w:left="709" w:hanging="709"/>
      </w:pPr>
      <w:bookmarkStart w:id="12" w:name="_ENREF_13"/>
      <w:r w:rsidRPr="0036131E">
        <w:t xml:space="preserve">NHTG &amp; THANH TRA CHÍNH PHỦ 2013. </w:t>
      </w:r>
      <w:r w:rsidRPr="0036131E">
        <w:rPr>
          <w:i/>
        </w:rPr>
        <w:t xml:space="preserve">Corruption from the Perspective of Citizens, Firms, and Public Officials - Results of Sociological Surveys, </w:t>
      </w:r>
      <w:r w:rsidRPr="0036131E">
        <w:t>Hà Nôi, Việt Nam, Nhà Xuất bán Chính trị - Sự thật.</w:t>
      </w:r>
      <w:bookmarkEnd w:id="12"/>
    </w:p>
    <w:p w:rsidR="005B1350" w:rsidRPr="0036131E" w:rsidRDefault="005B1350" w:rsidP="00054651">
      <w:pPr>
        <w:pStyle w:val="EndNoteBibliography"/>
        <w:spacing w:after="0"/>
        <w:ind w:left="709" w:hanging="709"/>
      </w:pPr>
      <w:bookmarkStart w:id="13" w:name="_ENREF_14"/>
      <w:r w:rsidRPr="0036131E">
        <w:t>QUIZON, A. Land Governance in Asia: Understanding the debates on land tenure rights and land reforms in the Asian context.  Land Governance in the 21st Century: framing the debate series, 2013 Rome, Italy. The International Land Coalition.</w:t>
      </w:r>
      <w:bookmarkEnd w:id="13"/>
    </w:p>
    <w:p w:rsidR="005B1350" w:rsidRPr="0036131E" w:rsidRDefault="005B1350" w:rsidP="00054651">
      <w:pPr>
        <w:pStyle w:val="EndNoteBibliography"/>
        <w:spacing w:after="0"/>
        <w:ind w:left="709" w:hanging="709"/>
      </w:pPr>
      <w:bookmarkStart w:id="14" w:name="_ENREF_15"/>
      <w:r w:rsidRPr="0036131E">
        <w:t xml:space="preserve">QUỐC HỘI VIỆT NAM 2013a. Hiến pháp Nước Cộng hoà Xã hội Chủ nghĩa Việt Nam 2013 (Thông qua tại Kỳ họp thứ sáu, Quốc hội khoá XII ngày 28 tháng 11 năm 2013). </w:t>
      </w:r>
      <w:r w:rsidRPr="0036131E">
        <w:rPr>
          <w:i/>
        </w:rPr>
        <w:t>In:</w:t>
      </w:r>
      <w:r w:rsidRPr="0036131E">
        <w:t xml:space="preserve"> NAM, Q. H. V. (ed.). Hà Nôi, Việt Nam.</w:t>
      </w:r>
      <w:bookmarkEnd w:id="14"/>
    </w:p>
    <w:p w:rsidR="005B1350" w:rsidRPr="0036131E" w:rsidRDefault="005B1350" w:rsidP="00054651">
      <w:pPr>
        <w:pStyle w:val="EndNoteBibliography"/>
        <w:spacing w:after="0"/>
        <w:ind w:left="709" w:hanging="709"/>
      </w:pPr>
      <w:bookmarkStart w:id="15" w:name="_ENREF_16"/>
      <w:r w:rsidRPr="0036131E">
        <w:t>QUỐC HỘI VIỆT NAM 2013b. Luật Đất đai 2013. Hanoi, Vietnam.</w:t>
      </w:r>
      <w:bookmarkEnd w:id="15"/>
    </w:p>
    <w:p w:rsidR="005B1350" w:rsidRPr="0036131E" w:rsidRDefault="005B1350" w:rsidP="00054651">
      <w:pPr>
        <w:pStyle w:val="EndNoteBibliography"/>
        <w:spacing w:after="0"/>
        <w:ind w:left="709" w:hanging="709"/>
      </w:pPr>
      <w:bookmarkStart w:id="16" w:name="_ENREF_17"/>
      <w:r w:rsidRPr="0036131E">
        <w:t xml:space="preserve">STEUDLER, D. &amp; RAJABIFARD, A. (eds.) 2012. </w:t>
      </w:r>
      <w:r w:rsidRPr="0036131E">
        <w:rPr>
          <w:i/>
        </w:rPr>
        <w:t xml:space="preserve">Spatially Enabled Society, </w:t>
      </w:r>
      <w:r w:rsidRPr="0036131E">
        <w:t>Copenhagen, Denmark: International Federation of Surveyors (FIG).</w:t>
      </w:r>
      <w:bookmarkEnd w:id="16"/>
    </w:p>
    <w:p w:rsidR="005B1350" w:rsidRPr="0036131E" w:rsidRDefault="005B1350" w:rsidP="00054651">
      <w:pPr>
        <w:pStyle w:val="EndNoteBibliography"/>
        <w:spacing w:after="0"/>
        <w:ind w:left="709" w:hanging="709"/>
      </w:pPr>
      <w:bookmarkStart w:id="17" w:name="_ENREF_18"/>
      <w:r w:rsidRPr="0036131E">
        <w:t xml:space="preserve">TRƯƠNG THIÊN THU &amp; PERERA, R. 2011. Consequences of the two-price system for land in the land and housing market in Ho Chi Minh City, Vietnam. </w:t>
      </w:r>
      <w:r w:rsidRPr="0036131E">
        <w:rPr>
          <w:i/>
        </w:rPr>
        <w:t>Habitat International,</w:t>
      </w:r>
      <w:r w:rsidRPr="0036131E">
        <w:t xml:space="preserve"> 35</w:t>
      </w:r>
      <w:r w:rsidRPr="0036131E">
        <w:rPr>
          <w:b/>
        </w:rPr>
        <w:t>,</w:t>
      </w:r>
      <w:r w:rsidRPr="0036131E">
        <w:t xml:space="preserve"> 30-39.</w:t>
      </w:r>
      <w:bookmarkEnd w:id="17"/>
    </w:p>
    <w:p w:rsidR="005B1350" w:rsidRPr="0036131E" w:rsidRDefault="005B1350" w:rsidP="00054651">
      <w:pPr>
        <w:pStyle w:val="EndNoteBibliography"/>
        <w:ind w:left="709" w:hanging="709"/>
      </w:pPr>
      <w:bookmarkStart w:id="18" w:name="_ENREF_19"/>
      <w:r w:rsidRPr="0036131E">
        <w:t xml:space="preserve">WIDMAN, M. 2014. Land Tenure Insecurity and Formalizing Land Rights in Madagascar: A Gender Perspective on the Certification Program. </w:t>
      </w:r>
      <w:r w:rsidRPr="0036131E">
        <w:rPr>
          <w:i/>
        </w:rPr>
        <w:t>Feminist Economics,</w:t>
      </w:r>
      <w:r w:rsidRPr="0036131E">
        <w:t xml:space="preserve"> 20</w:t>
      </w:r>
      <w:r w:rsidRPr="0036131E">
        <w:rPr>
          <w:b/>
        </w:rPr>
        <w:t>,</w:t>
      </w:r>
      <w:r w:rsidRPr="0036131E">
        <w:t xml:space="preserve"> 130-154.</w:t>
      </w:r>
      <w:bookmarkEnd w:id="18"/>
    </w:p>
    <w:p w:rsidR="005B1350" w:rsidRPr="00450E2F" w:rsidRDefault="005B1350" w:rsidP="00054651">
      <w:pPr>
        <w:ind w:left="709" w:hanging="709"/>
        <w:jc w:val="both"/>
        <w:rPr>
          <w:sz w:val="10"/>
          <w:lang w:val="en-US"/>
        </w:rPr>
      </w:pPr>
    </w:p>
    <w:p w:rsidR="005B1350" w:rsidRDefault="005B1350">
      <w:pPr>
        <w:rPr>
          <w:b/>
          <w:sz w:val="24"/>
          <w:lang w:val="en-US"/>
        </w:rPr>
      </w:pPr>
      <w:r>
        <w:rPr>
          <w:b/>
          <w:lang w:val="en-US"/>
        </w:rPr>
        <w:br w:type="page"/>
      </w:r>
    </w:p>
    <w:p w:rsidR="005B1350" w:rsidRDefault="005B1350" w:rsidP="00054651">
      <w:pPr>
        <w:pStyle w:val="BodyText"/>
        <w:rPr>
          <w:lang w:val="en-US"/>
        </w:rPr>
      </w:pPr>
    </w:p>
    <w:p w:rsidR="005B1350" w:rsidRPr="004C7525" w:rsidRDefault="005B1350" w:rsidP="00054651">
      <w:pPr>
        <w:pStyle w:val="Heading1"/>
        <w:jc w:val="center"/>
        <w:rPr>
          <w:rFonts w:ascii="Times New Roman" w:hAnsi="Times New Roman"/>
          <w:sz w:val="32"/>
          <w:szCs w:val="24"/>
          <w:lang w:val="en-US"/>
        </w:rPr>
      </w:pPr>
      <w:r>
        <w:rPr>
          <w:rFonts w:ascii="Times New Roman" w:hAnsi="Times New Roman"/>
          <w:sz w:val="32"/>
          <w:szCs w:val="24"/>
          <w:lang w:val="en-US"/>
        </w:rPr>
        <w:t>Accessibility to Land Information and Land Administration Services of local stakeholders in Vinh Long Province</w:t>
      </w:r>
    </w:p>
    <w:p w:rsidR="005B1350" w:rsidRDefault="005B1350" w:rsidP="00054651">
      <w:pPr>
        <w:pStyle w:val="BodyText"/>
        <w:jc w:val="center"/>
        <w:rPr>
          <w:b/>
          <w:lang w:val="en-US"/>
        </w:rPr>
      </w:pPr>
    </w:p>
    <w:p w:rsidR="005B1350" w:rsidRDefault="005B1350" w:rsidP="00054651">
      <w:pPr>
        <w:pStyle w:val="BodyText"/>
        <w:jc w:val="center"/>
        <w:rPr>
          <w:b/>
          <w:lang w:val="en-US"/>
        </w:rPr>
      </w:pPr>
      <w:r>
        <w:rPr>
          <w:b/>
          <w:lang w:val="en-US"/>
        </w:rPr>
        <w:t>ABSTRACT</w:t>
      </w:r>
    </w:p>
    <w:p w:rsidR="005B1350" w:rsidRDefault="005B1350" w:rsidP="00054651">
      <w:pPr>
        <w:pStyle w:val="BodyText"/>
        <w:rPr>
          <w:b/>
          <w:lang w:val="en-US"/>
        </w:rPr>
      </w:pPr>
    </w:p>
    <w:p w:rsidR="005B1350" w:rsidRDefault="005B1350" w:rsidP="00054651">
      <w:pPr>
        <w:pStyle w:val="BodyText"/>
        <w:jc w:val="both"/>
        <w:rPr>
          <w:lang w:val="en-US"/>
        </w:rPr>
      </w:pPr>
      <w:r>
        <w:rPr>
          <w:lang w:val="en-US"/>
        </w:rPr>
        <w:t>The trend in modern</w:t>
      </w:r>
      <w:r w:rsidRPr="002415FF">
        <w:rPr>
          <w:lang w:val="en-US"/>
        </w:rPr>
        <w:t xml:space="preserve"> land administration systems towards e</w:t>
      </w:r>
      <w:r>
        <w:rPr>
          <w:lang w:val="en-US"/>
        </w:rPr>
        <w:t>-</w:t>
      </w:r>
      <w:r w:rsidRPr="002415FF">
        <w:rPr>
          <w:lang w:val="en-US"/>
        </w:rPr>
        <w:t xml:space="preserve">land </w:t>
      </w:r>
      <w:r>
        <w:rPr>
          <w:lang w:val="en-US"/>
        </w:rPr>
        <w:t>administration</w:t>
      </w:r>
      <w:r w:rsidRPr="002415FF">
        <w:rPr>
          <w:lang w:val="en-US"/>
        </w:rPr>
        <w:t xml:space="preserve"> </w:t>
      </w:r>
      <w:r>
        <w:rPr>
          <w:lang w:val="en-US"/>
        </w:rPr>
        <w:t>aims at</w:t>
      </w:r>
      <w:r w:rsidRPr="002415FF">
        <w:rPr>
          <w:lang w:val="en-US"/>
        </w:rPr>
        <w:t xml:space="preserve"> improving access to land information and services </w:t>
      </w:r>
      <w:r>
        <w:rPr>
          <w:lang w:val="en-US"/>
        </w:rPr>
        <w:t>for</w:t>
      </w:r>
      <w:r w:rsidRPr="002415FF">
        <w:rPr>
          <w:lang w:val="en-US"/>
        </w:rPr>
        <w:t xml:space="preserve"> all stakeholders. Vietnam is no exception </w:t>
      </w:r>
      <w:r>
        <w:rPr>
          <w:lang w:val="en-US"/>
        </w:rPr>
        <w:t>in</w:t>
      </w:r>
      <w:r w:rsidRPr="002415FF">
        <w:rPr>
          <w:lang w:val="en-US"/>
        </w:rPr>
        <w:t xml:space="preserve"> this trend</w:t>
      </w:r>
      <w:r>
        <w:rPr>
          <w:lang w:val="en-US"/>
        </w:rPr>
        <w:t>. T</w:t>
      </w:r>
      <w:r w:rsidRPr="002415FF">
        <w:rPr>
          <w:lang w:val="en-US"/>
        </w:rPr>
        <w:t xml:space="preserve">he government has </w:t>
      </w:r>
      <w:r>
        <w:rPr>
          <w:lang w:val="en-US"/>
        </w:rPr>
        <w:t xml:space="preserve">made large </w:t>
      </w:r>
      <w:r w:rsidRPr="002415FF">
        <w:rPr>
          <w:lang w:val="en-US"/>
        </w:rPr>
        <w:t>invest</w:t>
      </w:r>
      <w:r>
        <w:rPr>
          <w:lang w:val="en-US"/>
        </w:rPr>
        <w:t>ments</w:t>
      </w:r>
      <w:r w:rsidRPr="002415FF">
        <w:rPr>
          <w:lang w:val="en-US"/>
        </w:rPr>
        <w:t xml:space="preserve"> to develop the land information and registration system with the strong support </w:t>
      </w:r>
      <w:r>
        <w:rPr>
          <w:lang w:val="en-US"/>
        </w:rPr>
        <w:t>from donor-funded</w:t>
      </w:r>
      <w:r w:rsidRPr="002415FF">
        <w:rPr>
          <w:lang w:val="en-US"/>
        </w:rPr>
        <w:t xml:space="preserve"> </w:t>
      </w:r>
      <w:r>
        <w:rPr>
          <w:lang w:val="en-US"/>
        </w:rPr>
        <w:t xml:space="preserve">land registration </w:t>
      </w:r>
      <w:r w:rsidRPr="002415FF">
        <w:rPr>
          <w:lang w:val="en-US"/>
        </w:rPr>
        <w:t>projects</w:t>
      </w:r>
      <w:r>
        <w:rPr>
          <w:lang w:val="en-US"/>
        </w:rPr>
        <w:t>. One aim</w:t>
      </w:r>
      <w:r w:rsidRPr="002415FF">
        <w:rPr>
          <w:lang w:val="en-US"/>
        </w:rPr>
        <w:t xml:space="preserve"> of land registration and titling </w:t>
      </w:r>
      <w:r>
        <w:rPr>
          <w:lang w:val="en-US"/>
        </w:rPr>
        <w:t>is to build a transparent land administration system</w:t>
      </w:r>
      <w:r w:rsidRPr="002415FF">
        <w:rPr>
          <w:lang w:val="en-US"/>
        </w:rPr>
        <w:t>. Most investments</w:t>
      </w:r>
      <w:r>
        <w:rPr>
          <w:lang w:val="en-US"/>
        </w:rPr>
        <w:t xml:space="preserve"> have</w:t>
      </w:r>
      <w:r w:rsidRPr="002415FF">
        <w:rPr>
          <w:lang w:val="en-US"/>
        </w:rPr>
        <w:t xml:space="preserve"> focused on the development of a computerised system to improve land administration delivery services. However, there have been some </w:t>
      </w:r>
      <w:r>
        <w:rPr>
          <w:lang w:val="en-US"/>
        </w:rPr>
        <w:t xml:space="preserve">technical and non-technical </w:t>
      </w:r>
      <w:r w:rsidRPr="002415FF">
        <w:rPr>
          <w:lang w:val="en-US"/>
        </w:rPr>
        <w:t>factors</w:t>
      </w:r>
      <w:r>
        <w:rPr>
          <w:lang w:val="en-US"/>
        </w:rPr>
        <w:t xml:space="preserve"> </w:t>
      </w:r>
      <w:r w:rsidRPr="002415FF">
        <w:rPr>
          <w:lang w:val="en-US"/>
        </w:rPr>
        <w:t xml:space="preserve">which have become barriers </w:t>
      </w:r>
      <w:r>
        <w:rPr>
          <w:lang w:val="en-US"/>
        </w:rPr>
        <w:t>to</w:t>
      </w:r>
      <w:r w:rsidRPr="002415FF">
        <w:rPr>
          <w:lang w:val="en-US"/>
        </w:rPr>
        <w:t xml:space="preserve"> </w:t>
      </w:r>
      <w:r>
        <w:rPr>
          <w:lang w:val="en-US"/>
        </w:rPr>
        <w:t xml:space="preserve">the </w:t>
      </w:r>
      <w:r w:rsidRPr="002415FF">
        <w:rPr>
          <w:lang w:val="en-US"/>
        </w:rPr>
        <w:t xml:space="preserve">implementation of an effective land </w:t>
      </w:r>
      <w:r>
        <w:rPr>
          <w:lang w:val="en-US"/>
        </w:rPr>
        <w:t>administration</w:t>
      </w:r>
      <w:r w:rsidRPr="002415FF">
        <w:rPr>
          <w:lang w:val="en-US"/>
        </w:rPr>
        <w:t xml:space="preserve"> system in the country. This</w:t>
      </w:r>
      <w:r>
        <w:rPr>
          <w:lang w:val="en-US"/>
        </w:rPr>
        <w:t xml:space="preserve"> paper presents the perceptions of grassroots stakeholders of the land administration, and to the development of a modern land administration system in Vietnam. This research is based on a case study which</w:t>
      </w:r>
      <w:r w:rsidRPr="002415FF">
        <w:rPr>
          <w:lang w:val="en-US"/>
        </w:rPr>
        <w:t xml:space="preserve"> investigate</w:t>
      </w:r>
      <w:r>
        <w:rPr>
          <w:lang w:val="en-US"/>
        </w:rPr>
        <w:t>s</w:t>
      </w:r>
      <w:r w:rsidRPr="002415FF">
        <w:rPr>
          <w:lang w:val="en-US"/>
        </w:rPr>
        <w:t xml:space="preserve"> the </w:t>
      </w:r>
      <w:r>
        <w:rPr>
          <w:lang w:val="en-US"/>
        </w:rPr>
        <w:t>challenges</w:t>
      </w:r>
      <w:r w:rsidRPr="002415FF">
        <w:rPr>
          <w:lang w:val="en-US"/>
        </w:rPr>
        <w:t xml:space="preserve"> for development of a conceptual spatial data infrastructure to increase access to land information by all stakeholders in Vietn</w:t>
      </w:r>
      <w:r>
        <w:rPr>
          <w:lang w:val="en-US"/>
        </w:rPr>
        <w:t>am.</w:t>
      </w:r>
    </w:p>
    <w:p w:rsidR="005B1350" w:rsidRDefault="005B1350" w:rsidP="00054651">
      <w:pPr>
        <w:pStyle w:val="BodyText"/>
        <w:jc w:val="both"/>
        <w:rPr>
          <w:b/>
          <w:lang w:val="en-US"/>
        </w:rPr>
      </w:pPr>
    </w:p>
    <w:p w:rsidR="005B1350" w:rsidRPr="00BD74C3" w:rsidRDefault="005B1350" w:rsidP="00054651">
      <w:pPr>
        <w:pStyle w:val="BodyText"/>
        <w:jc w:val="both"/>
        <w:rPr>
          <w:lang w:val="en-US"/>
        </w:rPr>
      </w:pPr>
      <w:r>
        <w:rPr>
          <w:b/>
          <w:lang w:val="en-US"/>
        </w:rPr>
        <w:t>Key words</w:t>
      </w:r>
      <w:r>
        <w:rPr>
          <w:lang w:val="en-US"/>
        </w:rPr>
        <w:t>: a</w:t>
      </w:r>
      <w:r w:rsidRPr="000679EB">
        <w:rPr>
          <w:lang w:val="en-US"/>
        </w:rPr>
        <w:t>ccess to land;</w:t>
      </w:r>
      <w:r>
        <w:rPr>
          <w:lang w:val="en-US"/>
        </w:rPr>
        <w:t xml:space="preserve"> </w:t>
      </w:r>
      <w:r w:rsidRPr="000679EB">
        <w:rPr>
          <w:lang w:val="en-US"/>
        </w:rPr>
        <w:t>e-</w:t>
      </w:r>
      <w:r>
        <w:rPr>
          <w:lang w:val="en-US"/>
        </w:rPr>
        <w:t>g</w:t>
      </w:r>
      <w:r w:rsidRPr="000679EB">
        <w:rPr>
          <w:lang w:val="en-US"/>
        </w:rPr>
        <w:t>overnance;</w:t>
      </w:r>
      <w:r>
        <w:rPr>
          <w:lang w:val="en-US"/>
        </w:rPr>
        <w:t xml:space="preserve"> l</w:t>
      </w:r>
      <w:r w:rsidRPr="000679EB">
        <w:rPr>
          <w:lang w:val="en-US"/>
        </w:rPr>
        <w:t>and management</w:t>
      </w:r>
      <w:r>
        <w:rPr>
          <w:lang w:val="en-US"/>
        </w:rPr>
        <w:t xml:space="preserve">; </w:t>
      </w:r>
      <w:r w:rsidRPr="000679EB">
        <w:rPr>
          <w:lang w:val="en-US"/>
        </w:rPr>
        <w:t>land stakeholder perception</w:t>
      </w:r>
    </w:p>
    <w:p w:rsidR="005B1350" w:rsidRDefault="005B1350" w:rsidP="00054651">
      <w:pPr>
        <w:pStyle w:val="BodyText"/>
        <w:rPr>
          <w:b/>
          <w:sz w:val="18"/>
          <w:lang w:val="en-US"/>
        </w:rPr>
      </w:pPr>
    </w:p>
    <w:p w:rsidR="005B1350" w:rsidRDefault="005B1350" w:rsidP="00054651">
      <w:pPr>
        <w:pStyle w:val="BodyText"/>
        <w:rPr>
          <w:b/>
          <w:sz w:val="18"/>
          <w:lang w:val="en-US"/>
        </w:rPr>
      </w:pPr>
    </w:p>
    <w:p w:rsidR="005B1350" w:rsidRDefault="005B1350" w:rsidP="00054651">
      <w:pPr>
        <w:pStyle w:val="BodyText"/>
        <w:rPr>
          <w:b/>
          <w:sz w:val="18"/>
          <w:lang w:val="en-US"/>
        </w:rPr>
      </w:pPr>
    </w:p>
    <w:p w:rsidR="005B1350" w:rsidRPr="00E433AB" w:rsidRDefault="005B1350" w:rsidP="00054651">
      <w:pPr>
        <w:pStyle w:val="BodyText"/>
        <w:rPr>
          <w:b/>
          <w:sz w:val="18"/>
          <w:lang w:val="en-US"/>
        </w:rPr>
      </w:pPr>
      <w:r w:rsidRPr="00E433AB">
        <w:rPr>
          <w:b/>
          <w:sz w:val="18"/>
          <w:lang w:val="en-US"/>
        </w:rPr>
        <w:t>TÁC GIẢ</w:t>
      </w:r>
    </w:p>
    <w:p w:rsidR="005B1350" w:rsidRPr="004F1510" w:rsidRDefault="005B1350" w:rsidP="00054651">
      <w:pPr>
        <w:pStyle w:val="BodyText"/>
        <w:ind w:firstLine="709"/>
        <w:rPr>
          <w:sz w:val="20"/>
          <w:lang w:val="en-US"/>
        </w:rPr>
      </w:pPr>
      <w:r>
        <w:rPr>
          <w:sz w:val="20"/>
          <w:lang w:val="en-US"/>
        </w:rPr>
        <w:t>TS. Ngô Đức Mậu</w:t>
      </w:r>
    </w:p>
    <w:p w:rsidR="005B1350" w:rsidRDefault="005B1350" w:rsidP="00054651">
      <w:pPr>
        <w:pStyle w:val="BodyText"/>
        <w:ind w:firstLine="709"/>
        <w:rPr>
          <w:sz w:val="20"/>
          <w:lang w:val="en-US"/>
        </w:rPr>
      </w:pPr>
      <w:r>
        <w:rPr>
          <w:sz w:val="20"/>
          <w:lang w:val="en-US"/>
        </w:rPr>
        <w:t>Tổng cục Quản lý đất đai</w:t>
      </w:r>
    </w:p>
    <w:p w:rsidR="005B1350" w:rsidRDefault="005B1350" w:rsidP="00054651">
      <w:pPr>
        <w:pStyle w:val="BodyText"/>
        <w:ind w:firstLine="709"/>
        <w:rPr>
          <w:sz w:val="20"/>
          <w:lang w:val="en-US"/>
        </w:rPr>
      </w:pPr>
      <w:r>
        <w:rPr>
          <w:sz w:val="20"/>
          <w:lang w:val="en-US"/>
        </w:rPr>
        <w:t>Bộ Tài nguyên và Môi trường</w:t>
      </w:r>
    </w:p>
    <w:p w:rsidR="005B1350" w:rsidRPr="004F1510" w:rsidRDefault="005B1350" w:rsidP="00054651">
      <w:pPr>
        <w:pStyle w:val="BodyText"/>
        <w:ind w:firstLine="709"/>
        <w:rPr>
          <w:sz w:val="20"/>
          <w:lang w:val="en-US"/>
        </w:rPr>
      </w:pPr>
      <w:r>
        <w:rPr>
          <w:sz w:val="20"/>
          <w:lang w:val="en-US"/>
        </w:rPr>
        <w:t>Số 10 Tôn Thất Thuyết, P. Mỹ Đình, Q. Nam Từ Liêm, Hà Nội</w:t>
      </w:r>
    </w:p>
    <w:p w:rsidR="005B1350" w:rsidRDefault="005B1350" w:rsidP="00054651">
      <w:pPr>
        <w:pStyle w:val="BodyText"/>
        <w:ind w:firstLine="709"/>
        <w:rPr>
          <w:sz w:val="20"/>
          <w:lang w:val="en-US"/>
        </w:rPr>
      </w:pPr>
      <w:r>
        <w:rPr>
          <w:sz w:val="20"/>
          <w:lang w:val="en-US"/>
        </w:rPr>
        <w:t>Tel. 024</w:t>
      </w:r>
      <w:r w:rsidRPr="004F1510">
        <w:rPr>
          <w:sz w:val="20"/>
          <w:lang w:val="en-US"/>
        </w:rPr>
        <w:t xml:space="preserve"> 3</w:t>
      </w:r>
      <w:r>
        <w:rPr>
          <w:sz w:val="20"/>
          <w:lang w:val="en-US"/>
        </w:rPr>
        <w:t>7596868 (số lẻ: 4124)</w:t>
      </w:r>
    </w:p>
    <w:p w:rsidR="005B1350" w:rsidRPr="00C264A5" w:rsidRDefault="005B1350" w:rsidP="00054651">
      <w:pPr>
        <w:pStyle w:val="BodyText"/>
        <w:ind w:firstLine="709"/>
        <w:rPr>
          <w:sz w:val="20"/>
          <w:lang w:val="en-US"/>
        </w:rPr>
      </w:pPr>
      <w:r w:rsidRPr="00C264A5">
        <w:rPr>
          <w:sz w:val="20"/>
          <w:lang w:val="en-US"/>
        </w:rPr>
        <w:t>Di động: 0902298798</w:t>
      </w:r>
    </w:p>
    <w:p w:rsidR="00C367C8" w:rsidRPr="0086091E" w:rsidRDefault="005B1350" w:rsidP="0086091E">
      <w:pPr>
        <w:pStyle w:val="BodyText"/>
        <w:ind w:firstLine="709"/>
        <w:rPr>
          <w:sz w:val="20"/>
          <w:lang w:val="en-US"/>
        </w:rPr>
      </w:pPr>
      <w:r w:rsidRPr="00C264A5">
        <w:rPr>
          <w:sz w:val="20"/>
          <w:lang w:val="en-US"/>
        </w:rPr>
        <w:t xml:space="preserve">E-mail: </w:t>
      </w:r>
      <w:hyperlink r:id="rId10" w:history="1">
        <w:r w:rsidR="00C264A5" w:rsidRPr="00C264A5">
          <w:rPr>
            <w:rStyle w:val="Hyperlink"/>
            <w:sz w:val="20"/>
            <w:lang w:val="en-US"/>
          </w:rPr>
          <w:t>ndmau@gdla.gov.vn</w:t>
        </w:r>
      </w:hyperlink>
      <w:bookmarkStart w:id="19" w:name="_GoBack"/>
      <w:bookmarkEnd w:id="19"/>
    </w:p>
    <w:sectPr w:rsidR="00C367C8" w:rsidRPr="0086091E" w:rsidSect="00455CCB">
      <w:footerReference w:type="even" r:id="rId11"/>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FE7" w:rsidRDefault="00675FE7" w:rsidP="005B1350">
      <w:r>
        <w:separator/>
      </w:r>
    </w:p>
  </w:endnote>
  <w:endnote w:type="continuationSeparator" w:id="0">
    <w:p w:rsidR="00675FE7" w:rsidRDefault="00675FE7" w:rsidP="005B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651" w:rsidRDefault="000546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54651" w:rsidRDefault="000546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651" w:rsidRDefault="00054651" w:rsidP="00054651">
    <w:pPr>
      <w:pStyle w:val="Footer"/>
      <w:framePr w:w="691" w:h="286" w:hRule="exact" w:wrap="around" w:vAnchor="text" w:hAnchor="page" w:x="9766" w:yAlign="top"/>
      <w:jc w:val="right"/>
      <w:rPr>
        <w:rStyle w:val="PageNumber"/>
        <w:lang w:val="en-US"/>
      </w:rPr>
    </w:pPr>
    <w:r>
      <w:rPr>
        <w:rStyle w:val="PageNumber"/>
      </w:rPr>
      <w:fldChar w:fldCharType="begin"/>
    </w:r>
    <w:r>
      <w:rPr>
        <w:rStyle w:val="PageNumber"/>
      </w:rPr>
      <w:instrText xml:space="preserve">PAGE  </w:instrText>
    </w:r>
    <w:r>
      <w:rPr>
        <w:rStyle w:val="PageNumber"/>
      </w:rPr>
      <w:fldChar w:fldCharType="separate"/>
    </w:r>
    <w:r w:rsidR="0086091E">
      <w:rPr>
        <w:rStyle w:val="PageNumber"/>
        <w:noProof/>
      </w:rPr>
      <w:t>19</w:t>
    </w:r>
    <w:r>
      <w:rPr>
        <w:rStyle w:val="PageNumber"/>
      </w:rPr>
      <w:fldChar w:fldCharType="end"/>
    </w:r>
    <w:r>
      <w:rPr>
        <w:rStyle w:val="PageNumber"/>
      </w:rPr>
      <w:t>/</w:t>
    </w:r>
    <w:r>
      <w:rPr>
        <w:rStyle w:val="PageNumber"/>
      </w:rPr>
      <w:fldChar w:fldCharType="begin"/>
    </w:r>
    <w:r>
      <w:rPr>
        <w:rStyle w:val="PageNumber"/>
      </w:rPr>
      <w:instrText xml:space="preserve"> NUMPAGES  \* MERGEFORMAT </w:instrText>
    </w:r>
    <w:r>
      <w:rPr>
        <w:rStyle w:val="PageNumber"/>
      </w:rPr>
      <w:fldChar w:fldCharType="separate"/>
    </w:r>
    <w:r w:rsidR="0086091E">
      <w:rPr>
        <w:rStyle w:val="PageNumber"/>
        <w:noProof/>
      </w:rPr>
      <w:t>19</w:t>
    </w:r>
    <w:r>
      <w:rPr>
        <w:rStyle w:val="PageNumber"/>
      </w:rPr>
      <w:fldChar w:fldCharType="end"/>
    </w:r>
  </w:p>
  <w:p w:rsidR="00054651" w:rsidRDefault="000546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FE7" w:rsidRDefault="00675FE7" w:rsidP="005B1350">
      <w:r>
        <w:separator/>
      </w:r>
    </w:p>
  </w:footnote>
  <w:footnote w:type="continuationSeparator" w:id="0">
    <w:p w:rsidR="00675FE7" w:rsidRDefault="00675FE7" w:rsidP="005B1350">
      <w:r>
        <w:continuationSeparator/>
      </w:r>
    </w:p>
  </w:footnote>
  <w:footnote w:id="1">
    <w:p w:rsidR="00054651" w:rsidRPr="000E2444" w:rsidRDefault="00054651">
      <w:pPr>
        <w:pStyle w:val="FootnoteText"/>
        <w:rPr>
          <w:rFonts w:ascii="Times New Roman" w:hAnsi="Times New Roman" w:cs="Times New Roman"/>
          <w:lang w:val="vi-VN"/>
        </w:rPr>
      </w:pPr>
      <w:r w:rsidRPr="000E2444">
        <w:rPr>
          <w:rStyle w:val="FootnoteReference"/>
          <w:rFonts w:ascii="Times New Roman" w:hAnsi="Times New Roman" w:cs="Times New Roman"/>
        </w:rPr>
        <w:footnoteRef/>
      </w:r>
      <w:r w:rsidRPr="000E2444">
        <w:rPr>
          <w:rFonts w:ascii="Times New Roman" w:hAnsi="Times New Roman" w:cs="Times New Roman"/>
        </w:rPr>
        <w:t xml:space="preserve"> </w:t>
      </w:r>
      <w:r w:rsidRPr="000E2444">
        <w:rPr>
          <w:rFonts w:ascii="Times New Roman" w:hAnsi="Times New Roman" w:cs="Times New Roman"/>
          <w:lang w:val="vi-VN"/>
        </w:rPr>
        <w:t>Trong nội dung bài báo này, tác giả sử dụng thống nhất khái niệm “chủ sử dụng đất”, được hiểu là “chủ sở hữu đất” khi áp dụng trong ngữ cảnh phù hợp.</w:t>
      </w:r>
    </w:p>
  </w:footnote>
  <w:footnote w:id="2">
    <w:p w:rsidR="00054651" w:rsidRPr="00366EC3" w:rsidRDefault="00054651" w:rsidP="00054651">
      <w:pPr>
        <w:pStyle w:val="FootnoteText"/>
        <w:rPr>
          <w:rFonts w:ascii="Times New Roman" w:hAnsi="Times New Roman" w:cs="Times New Roman"/>
          <w:sz w:val="16"/>
          <w:lang w:val="vi-VN"/>
        </w:rPr>
      </w:pPr>
      <w:r w:rsidRPr="001426BA">
        <w:rPr>
          <w:rStyle w:val="FootnoteReference"/>
          <w:rFonts w:ascii="Times New Roman" w:hAnsi="Times New Roman" w:cs="Times New Roman"/>
        </w:rPr>
        <w:footnoteRef/>
      </w:r>
      <w:r w:rsidRPr="00366EC3">
        <w:rPr>
          <w:rFonts w:ascii="Times New Roman" w:hAnsi="Times New Roman" w:cs="Times New Roman"/>
          <w:lang w:val="vi-VN"/>
        </w:rPr>
        <w:t xml:space="preserve"> </w:t>
      </w:r>
      <w:r w:rsidRPr="006243C5">
        <w:rPr>
          <w:rFonts w:ascii="Times New Roman" w:hAnsi="Times New Roman" w:cs="Times New Roman"/>
          <w:szCs w:val="24"/>
          <w:lang w:val="vi-VN"/>
        </w:rPr>
        <w:t>Có 120 người tham gia trả lời câu hỏi này.</w:t>
      </w:r>
    </w:p>
  </w:footnote>
  <w:footnote w:id="3">
    <w:p w:rsidR="0086091E" w:rsidRPr="0086091E" w:rsidRDefault="0086091E">
      <w:pPr>
        <w:pStyle w:val="FootnoteText"/>
        <w:rPr>
          <w:lang w:val="vi-VN"/>
        </w:rPr>
      </w:pPr>
      <w:r>
        <w:rPr>
          <w:rStyle w:val="FootnoteReference"/>
        </w:rPr>
        <w:footnoteRef/>
      </w:r>
      <w:r w:rsidRPr="0086091E">
        <w:rPr>
          <w:lang w:val="vi-VN"/>
        </w:rPr>
        <w:t xml:space="preserve"> </w:t>
      </w:r>
      <w:r w:rsidRPr="0086091E">
        <w:rPr>
          <w:rFonts w:ascii="Times New Roman" w:hAnsi="Times New Roman" w:cs="Times New Roman"/>
          <w:color w:val="000000"/>
          <w:sz w:val="21"/>
          <w:szCs w:val="21"/>
          <w:lang w:val="vi-VN" w:eastAsia="en-AU"/>
        </w:rPr>
        <w:t>Điểm trung bình theo cộng đồng dân cư</w:t>
      </w:r>
      <w:r w:rsidRPr="0086091E">
        <w:rPr>
          <w:rFonts w:ascii="Times New Roman" w:hAnsi="Times New Roman" w:cs="Times New Roman"/>
          <w:color w:val="000000"/>
          <w:sz w:val="21"/>
          <w:szCs w:val="21"/>
          <w:lang w:val="vi-VN" w:eastAsia="en-AU"/>
        </w:rPr>
        <w:t xml:space="preserve">. </w:t>
      </w:r>
      <w:r w:rsidRPr="0086091E">
        <w:rPr>
          <w:rFonts w:ascii="Times New Roman" w:hAnsi="Times New Roman" w:cs="Times New Roman"/>
          <w:lang w:val="vi-VN"/>
        </w:rPr>
        <w:t xml:space="preserve">Giá trị trung bình, </w:t>
      </w:r>
      <w:r w:rsidRPr="0086091E">
        <w:rPr>
          <w:rFonts w:ascii="Times New Roman" w:hAnsi="Times New Roman" w:cs="Times New Roman"/>
          <w:noProof/>
          <w:position w:val="-28"/>
          <w:lang w:val="vi-VN" w:eastAsia="vi-VN"/>
        </w:rPr>
        <w:drawing>
          <wp:inline distT="0" distB="0" distL="0" distR="0" wp14:anchorId="4864A574" wp14:editId="582C2BA1">
            <wp:extent cx="723900" cy="438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38150"/>
                    </a:xfrm>
                    <a:prstGeom prst="rect">
                      <a:avLst/>
                    </a:prstGeom>
                    <a:noFill/>
                    <a:ln>
                      <a:noFill/>
                    </a:ln>
                  </pic:spPr>
                </pic:pic>
              </a:graphicData>
            </a:graphic>
          </wp:inline>
        </w:drawing>
      </w:r>
      <w:r w:rsidRPr="0086091E">
        <w:rPr>
          <w:rFonts w:ascii="Times New Roman" w:hAnsi="Times New Roman" w:cs="Times New Roman"/>
          <w:lang w:val="vi-VN"/>
        </w:rPr>
        <w:t xml:space="preserve">với </w:t>
      </w:r>
      <w:r w:rsidRPr="0086091E">
        <w:rPr>
          <w:rFonts w:ascii="Times New Roman" w:hAnsi="Times New Roman" w:cs="Times New Roman"/>
          <w:i/>
          <w:lang w:val="vi-VN"/>
        </w:rPr>
        <w:t>n</w:t>
      </w:r>
      <w:r w:rsidRPr="0086091E">
        <w:rPr>
          <w:rFonts w:ascii="Times New Roman" w:hAnsi="Times New Roman" w:cs="Times New Roman"/>
          <w:lang w:val="vi-VN"/>
        </w:rPr>
        <w:t>=122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27213"/>
    <w:multiLevelType w:val="multilevel"/>
    <w:tmpl w:val="39445B06"/>
    <w:lvl w:ilvl="0">
      <w:start w:val="5"/>
      <w:numFmt w:val="decimal"/>
      <w:lvlText w:val="%1."/>
      <w:lvlJc w:val="left"/>
      <w:pPr>
        <w:ind w:left="630" w:hanging="63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F8A6606"/>
    <w:multiLevelType w:val="hybridMultilevel"/>
    <w:tmpl w:val="8B0A8DAE"/>
    <w:lvl w:ilvl="0" w:tplc="0C090001">
      <w:start w:val="1"/>
      <w:numFmt w:val="bullet"/>
      <w:lvlText w:val=""/>
      <w:lvlJc w:val="left"/>
      <w:pPr>
        <w:ind w:left="720" w:hanging="360"/>
      </w:pPr>
      <w:rPr>
        <w:rFonts w:ascii="Symbol" w:hAnsi="Symbol" w:hint="default"/>
      </w:rPr>
    </w:lvl>
    <w:lvl w:ilvl="1" w:tplc="5CDCFCD8">
      <w:start w:val="1"/>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7502DC"/>
    <w:multiLevelType w:val="hybridMultilevel"/>
    <w:tmpl w:val="D026B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97B55"/>
    <w:multiLevelType w:val="hybridMultilevel"/>
    <w:tmpl w:val="22742680"/>
    <w:lvl w:ilvl="0" w:tplc="0A34EEB4">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DE1D21"/>
    <w:multiLevelType w:val="hybridMultilevel"/>
    <w:tmpl w:val="893641A0"/>
    <w:lvl w:ilvl="0" w:tplc="A858B0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3A5C24"/>
    <w:multiLevelType w:val="hybridMultilevel"/>
    <w:tmpl w:val="2A6E1926"/>
    <w:lvl w:ilvl="0" w:tplc="0C090001">
      <w:start w:val="1"/>
      <w:numFmt w:val="bullet"/>
      <w:lvlText w:val=""/>
      <w:lvlJc w:val="left"/>
      <w:pPr>
        <w:ind w:left="720" w:hanging="360"/>
      </w:pPr>
      <w:rPr>
        <w:rFonts w:ascii="Symbol" w:hAnsi="Symbol" w:hint="default"/>
      </w:rPr>
    </w:lvl>
    <w:lvl w:ilvl="1" w:tplc="0DB8A34E">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060FB7"/>
    <w:multiLevelType w:val="hybridMultilevel"/>
    <w:tmpl w:val="19D461EE"/>
    <w:lvl w:ilvl="0" w:tplc="25327AD8">
      <w:numFmt w:val="bullet"/>
      <w:lvlText w:val="-"/>
      <w:lvlJc w:val="left"/>
      <w:pPr>
        <w:ind w:left="720" w:hanging="36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7E267C"/>
    <w:multiLevelType w:val="multilevel"/>
    <w:tmpl w:val="1BC4A3F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7"/>
  </w:num>
  <w:num w:numId="2">
    <w:abstractNumId w:val="0"/>
  </w:num>
  <w:num w:numId="3">
    <w:abstractNumId w:val="2"/>
  </w:num>
  <w:num w:numId="4">
    <w:abstractNumId w:val="6"/>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2MDcyMrM0NjAyMTVQ0lEKTi0uzszPAykwrAUAF7sIWSwAAAA="/>
    <w:docVar w:name="EN.InstantFormat" w:val="&lt;ENInstantFormat&gt;&lt;Enabled&gt;1&lt;/Enabled&gt;&lt;ScanUnformatted&gt;1&lt;/ScanUnformatted&gt;&lt;ScanChanges&gt;1&lt;/ScanChanges&gt;&lt;Suspended&gt;1&lt;/Suspended&gt;&lt;/ENInstantFormat&gt;"/>
  </w:docVars>
  <w:rsids>
    <w:rsidRoot w:val="005B1350"/>
    <w:rsid w:val="00054651"/>
    <w:rsid w:val="00455CCB"/>
    <w:rsid w:val="00505BC8"/>
    <w:rsid w:val="00525FC4"/>
    <w:rsid w:val="005B1350"/>
    <w:rsid w:val="00675FE7"/>
    <w:rsid w:val="0086091E"/>
    <w:rsid w:val="0088357D"/>
    <w:rsid w:val="00AC7C7F"/>
    <w:rsid w:val="00C264A5"/>
    <w:rsid w:val="00C367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9357F-9413-41F6-B445-1139ACE4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350"/>
    <w:pPr>
      <w:spacing w:after="0" w:line="240" w:lineRule="auto"/>
    </w:pPr>
    <w:rPr>
      <w:rFonts w:ascii="Times New Roman" w:eastAsia="Times New Roman" w:hAnsi="Times New Roman" w:cs="Times New Roman"/>
      <w:sz w:val="20"/>
      <w:szCs w:val="20"/>
      <w:lang w:val="da-DK"/>
    </w:rPr>
  </w:style>
  <w:style w:type="paragraph" w:styleId="Heading1">
    <w:name w:val="heading 1"/>
    <w:basedOn w:val="Normal"/>
    <w:next w:val="Normal"/>
    <w:link w:val="Heading1Char"/>
    <w:qFormat/>
    <w:rsid w:val="005B1350"/>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5B1350"/>
    <w:pPr>
      <w:keepNext/>
      <w:jc w:val="center"/>
      <w:outlineLvl w:val="1"/>
    </w:pPr>
    <w:rPr>
      <w:b/>
      <w:bCs/>
      <w:sz w:val="24"/>
      <w:lang w:val="en-US"/>
    </w:rPr>
  </w:style>
  <w:style w:type="paragraph" w:styleId="Heading3">
    <w:name w:val="heading 3"/>
    <w:basedOn w:val="Normal"/>
    <w:next w:val="Normal"/>
    <w:link w:val="Heading3Char"/>
    <w:unhideWhenUsed/>
    <w:qFormat/>
    <w:rsid w:val="005B1350"/>
    <w:pPr>
      <w:keepNext/>
      <w:keepLines/>
      <w:spacing w:before="200" w:line="276" w:lineRule="auto"/>
      <w:outlineLvl w:val="2"/>
    </w:pPr>
    <w:rPr>
      <w:rFonts w:asciiTheme="majorHAnsi" w:eastAsiaTheme="majorEastAsia" w:hAnsiTheme="majorHAnsi" w:cstheme="majorBidi"/>
      <w:b/>
      <w:bCs/>
      <w:color w:val="5B9BD5" w:themeColor="accent1"/>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350"/>
    <w:rPr>
      <w:rFonts w:ascii="Arial" w:eastAsia="Times New Roman" w:hAnsi="Arial" w:cs="Times New Roman"/>
      <w:b/>
      <w:kern w:val="28"/>
      <w:sz w:val="28"/>
      <w:szCs w:val="20"/>
      <w:lang w:val="da-DK"/>
    </w:rPr>
  </w:style>
  <w:style w:type="character" w:customStyle="1" w:styleId="Heading2Char">
    <w:name w:val="Heading 2 Char"/>
    <w:basedOn w:val="DefaultParagraphFont"/>
    <w:link w:val="Heading2"/>
    <w:rsid w:val="005B1350"/>
    <w:rPr>
      <w:rFonts w:ascii="Times New Roman" w:eastAsia="Times New Roman" w:hAnsi="Times New Roman" w:cs="Times New Roman"/>
      <w:b/>
      <w:bCs/>
      <w:sz w:val="24"/>
      <w:szCs w:val="20"/>
      <w:lang w:val="en-US"/>
    </w:rPr>
  </w:style>
  <w:style w:type="character" w:customStyle="1" w:styleId="Heading3Char">
    <w:name w:val="Heading 3 Char"/>
    <w:basedOn w:val="DefaultParagraphFont"/>
    <w:link w:val="Heading3"/>
    <w:rsid w:val="005B1350"/>
    <w:rPr>
      <w:rFonts w:asciiTheme="majorHAnsi" w:eastAsiaTheme="majorEastAsia" w:hAnsiTheme="majorHAnsi" w:cstheme="majorBidi"/>
      <w:b/>
      <w:bCs/>
      <w:color w:val="5B9BD5" w:themeColor="accent1"/>
      <w:lang w:val="en-AU"/>
    </w:rPr>
  </w:style>
  <w:style w:type="paragraph" w:styleId="Header">
    <w:name w:val="header"/>
    <w:basedOn w:val="Normal"/>
    <w:link w:val="HeaderChar"/>
    <w:rsid w:val="005B1350"/>
    <w:pPr>
      <w:tabs>
        <w:tab w:val="center" w:pos="4153"/>
        <w:tab w:val="right" w:pos="8306"/>
      </w:tabs>
    </w:pPr>
  </w:style>
  <w:style w:type="character" w:customStyle="1" w:styleId="HeaderChar">
    <w:name w:val="Header Char"/>
    <w:basedOn w:val="DefaultParagraphFont"/>
    <w:link w:val="Header"/>
    <w:rsid w:val="005B1350"/>
    <w:rPr>
      <w:rFonts w:ascii="Times New Roman" w:eastAsia="Times New Roman" w:hAnsi="Times New Roman" w:cs="Times New Roman"/>
      <w:sz w:val="20"/>
      <w:szCs w:val="20"/>
      <w:lang w:val="da-DK"/>
    </w:rPr>
  </w:style>
  <w:style w:type="paragraph" w:styleId="Footer">
    <w:name w:val="footer"/>
    <w:basedOn w:val="Normal"/>
    <w:link w:val="FooterChar"/>
    <w:rsid w:val="005B1350"/>
    <w:pPr>
      <w:tabs>
        <w:tab w:val="center" w:pos="4153"/>
        <w:tab w:val="right" w:pos="8306"/>
      </w:tabs>
    </w:pPr>
  </w:style>
  <w:style w:type="character" w:customStyle="1" w:styleId="FooterChar">
    <w:name w:val="Footer Char"/>
    <w:basedOn w:val="DefaultParagraphFont"/>
    <w:link w:val="Footer"/>
    <w:rsid w:val="005B1350"/>
    <w:rPr>
      <w:rFonts w:ascii="Times New Roman" w:eastAsia="Times New Roman" w:hAnsi="Times New Roman" w:cs="Times New Roman"/>
      <w:sz w:val="20"/>
      <w:szCs w:val="20"/>
      <w:lang w:val="da-DK"/>
    </w:rPr>
  </w:style>
  <w:style w:type="paragraph" w:styleId="BodyText">
    <w:name w:val="Body Text"/>
    <w:basedOn w:val="Normal"/>
    <w:link w:val="BodyTextChar"/>
    <w:rsid w:val="005B1350"/>
    <w:rPr>
      <w:sz w:val="24"/>
    </w:rPr>
  </w:style>
  <w:style w:type="character" w:customStyle="1" w:styleId="BodyTextChar">
    <w:name w:val="Body Text Char"/>
    <w:basedOn w:val="DefaultParagraphFont"/>
    <w:link w:val="BodyText"/>
    <w:rsid w:val="005B1350"/>
    <w:rPr>
      <w:rFonts w:ascii="Times New Roman" w:eastAsia="Times New Roman" w:hAnsi="Times New Roman" w:cs="Times New Roman"/>
      <w:sz w:val="24"/>
      <w:szCs w:val="20"/>
      <w:lang w:val="da-DK"/>
    </w:rPr>
  </w:style>
  <w:style w:type="character" w:styleId="PageNumber">
    <w:name w:val="page number"/>
    <w:basedOn w:val="DefaultParagraphFont"/>
    <w:rsid w:val="005B1350"/>
  </w:style>
  <w:style w:type="paragraph" w:customStyle="1" w:styleId="EndNoteBibliography">
    <w:name w:val="EndNote Bibliography"/>
    <w:basedOn w:val="Normal"/>
    <w:link w:val="EndNoteBibliographyChar"/>
    <w:rsid w:val="005B1350"/>
    <w:pPr>
      <w:spacing w:after="200"/>
    </w:pPr>
    <w:rPr>
      <w:rFonts w:eastAsiaTheme="minorHAnsi"/>
      <w:noProof/>
      <w:sz w:val="22"/>
      <w:szCs w:val="22"/>
      <w:lang w:val="en-US"/>
    </w:rPr>
  </w:style>
  <w:style w:type="character" w:customStyle="1" w:styleId="EndNoteBibliographyChar">
    <w:name w:val="EndNote Bibliography Char"/>
    <w:basedOn w:val="DefaultParagraphFont"/>
    <w:link w:val="EndNoteBibliography"/>
    <w:rsid w:val="005B1350"/>
    <w:rPr>
      <w:rFonts w:ascii="Times New Roman" w:hAnsi="Times New Roman" w:cs="Times New Roman"/>
      <w:noProof/>
      <w:lang w:val="en-US"/>
    </w:rPr>
  </w:style>
  <w:style w:type="paragraph" w:customStyle="1" w:styleId="EndNoteBibliographyTitle">
    <w:name w:val="EndNote Bibliography Title"/>
    <w:basedOn w:val="Normal"/>
    <w:link w:val="EndNoteBibliographyTitleChar"/>
    <w:rsid w:val="005B1350"/>
    <w:pPr>
      <w:jc w:val="center"/>
    </w:pPr>
    <w:rPr>
      <w:noProof/>
      <w:sz w:val="24"/>
      <w:lang w:val="en-US"/>
    </w:rPr>
  </w:style>
  <w:style w:type="character" w:customStyle="1" w:styleId="EndNoteBibliographyTitleChar">
    <w:name w:val="EndNote Bibliography Title Char"/>
    <w:basedOn w:val="BodyTextChar"/>
    <w:link w:val="EndNoteBibliographyTitle"/>
    <w:rsid w:val="005B1350"/>
    <w:rPr>
      <w:rFonts w:ascii="Times New Roman" w:eastAsia="Times New Roman" w:hAnsi="Times New Roman" w:cs="Times New Roman"/>
      <w:noProof/>
      <w:sz w:val="24"/>
      <w:szCs w:val="20"/>
      <w:lang w:val="en-US"/>
    </w:rPr>
  </w:style>
  <w:style w:type="character" w:styleId="Hyperlink">
    <w:name w:val="Hyperlink"/>
    <w:basedOn w:val="DefaultParagraphFont"/>
    <w:rsid w:val="005B1350"/>
    <w:rPr>
      <w:color w:val="0563C1" w:themeColor="hyperlink"/>
      <w:u w:val="single"/>
    </w:rPr>
  </w:style>
  <w:style w:type="paragraph" w:styleId="ListParagraph">
    <w:name w:val="List Paragraph"/>
    <w:basedOn w:val="Normal"/>
    <w:link w:val="ListParagraphChar"/>
    <w:uiPriority w:val="34"/>
    <w:qFormat/>
    <w:rsid w:val="005B1350"/>
    <w:pPr>
      <w:spacing w:after="200" w:line="276" w:lineRule="auto"/>
      <w:ind w:left="720"/>
      <w:contextualSpacing/>
    </w:pPr>
    <w:rPr>
      <w:rFonts w:asciiTheme="minorHAnsi" w:eastAsiaTheme="minorHAnsi" w:hAnsiTheme="minorHAnsi" w:cstheme="minorBidi"/>
      <w:sz w:val="22"/>
      <w:szCs w:val="22"/>
      <w:lang w:val="en-AU"/>
    </w:rPr>
  </w:style>
  <w:style w:type="character" w:customStyle="1" w:styleId="ListParagraphChar">
    <w:name w:val="List Paragraph Char"/>
    <w:basedOn w:val="DefaultParagraphFont"/>
    <w:link w:val="ListParagraph"/>
    <w:uiPriority w:val="34"/>
    <w:rsid w:val="005B1350"/>
    <w:rPr>
      <w:lang w:val="en-AU"/>
    </w:rPr>
  </w:style>
  <w:style w:type="paragraph" w:styleId="FootnoteText">
    <w:name w:val="footnote text"/>
    <w:basedOn w:val="Normal"/>
    <w:link w:val="FootnoteTextChar"/>
    <w:unhideWhenUsed/>
    <w:rsid w:val="005B1350"/>
    <w:rPr>
      <w:rFonts w:asciiTheme="minorHAnsi" w:eastAsiaTheme="minorHAnsi" w:hAnsiTheme="minorHAnsi" w:cstheme="minorBidi"/>
      <w:lang w:val="en-AU"/>
    </w:rPr>
  </w:style>
  <w:style w:type="character" w:customStyle="1" w:styleId="FootnoteTextChar">
    <w:name w:val="Footnote Text Char"/>
    <w:basedOn w:val="DefaultParagraphFont"/>
    <w:link w:val="FootnoteText"/>
    <w:rsid w:val="005B1350"/>
    <w:rPr>
      <w:sz w:val="20"/>
      <w:szCs w:val="20"/>
      <w:lang w:val="en-AU"/>
    </w:rPr>
  </w:style>
  <w:style w:type="character" w:styleId="FootnoteReference">
    <w:name w:val="footnote reference"/>
    <w:basedOn w:val="DefaultParagraphFont"/>
    <w:unhideWhenUsed/>
    <w:rsid w:val="005B1350"/>
    <w:rPr>
      <w:vertAlign w:val="superscript"/>
    </w:rPr>
  </w:style>
  <w:style w:type="paragraph" w:styleId="BalloonText">
    <w:name w:val="Balloon Text"/>
    <w:basedOn w:val="Normal"/>
    <w:link w:val="BalloonTextChar"/>
    <w:rsid w:val="005B1350"/>
    <w:rPr>
      <w:rFonts w:ascii="Tahoma" w:hAnsi="Tahoma" w:cs="Tahoma"/>
      <w:sz w:val="16"/>
      <w:szCs w:val="16"/>
    </w:rPr>
  </w:style>
  <w:style w:type="character" w:customStyle="1" w:styleId="BalloonTextChar">
    <w:name w:val="Balloon Text Char"/>
    <w:basedOn w:val="DefaultParagraphFont"/>
    <w:link w:val="BalloonText"/>
    <w:rsid w:val="005B1350"/>
    <w:rPr>
      <w:rFonts w:ascii="Tahoma" w:eastAsia="Times New Roman" w:hAnsi="Tahoma" w:cs="Tahoma"/>
      <w:sz w:val="16"/>
      <w:szCs w:val="16"/>
      <w:lang w:val="da-DK"/>
    </w:rPr>
  </w:style>
  <w:style w:type="character" w:styleId="CommentReference">
    <w:name w:val="annotation reference"/>
    <w:rsid w:val="005B1350"/>
    <w:rPr>
      <w:sz w:val="16"/>
      <w:szCs w:val="16"/>
    </w:rPr>
  </w:style>
  <w:style w:type="paragraph" w:styleId="CommentText">
    <w:name w:val="annotation text"/>
    <w:basedOn w:val="Normal"/>
    <w:link w:val="CommentTextChar"/>
    <w:rsid w:val="005B1350"/>
    <w:rPr>
      <w:rFonts w:ascii="Arial" w:eastAsia="MS Mincho" w:hAnsi="Arial"/>
      <w:lang w:val="en-AU" w:eastAsia="ja-JP"/>
    </w:rPr>
  </w:style>
  <w:style w:type="character" w:customStyle="1" w:styleId="CommentTextChar">
    <w:name w:val="Comment Text Char"/>
    <w:basedOn w:val="DefaultParagraphFont"/>
    <w:link w:val="CommentText"/>
    <w:rsid w:val="005B1350"/>
    <w:rPr>
      <w:rFonts w:ascii="Arial" w:eastAsia="MS Mincho" w:hAnsi="Arial" w:cs="Times New Roman"/>
      <w:sz w:val="20"/>
      <w:szCs w:val="20"/>
      <w:lang w:val="en-AU" w:eastAsia="ja-JP"/>
    </w:rPr>
  </w:style>
  <w:style w:type="character" w:customStyle="1" w:styleId="apple-converted-space">
    <w:name w:val="apple-converted-space"/>
    <w:basedOn w:val="DefaultParagraphFont"/>
    <w:rsid w:val="005B1350"/>
  </w:style>
  <w:style w:type="table" w:styleId="TableGrid">
    <w:name w:val="Table Grid"/>
    <w:basedOn w:val="TableNormal"/>
    <w:rsid w:val="005B1350"/>
    <w:pPr>
      <w:spacing w:after="0" w:line="240" w:lineRule="auto"/>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1350"/>
    <w:pPr>
      <w:spacing w:after="0" w:line="240" w:lineRule="auto"/>
    </w:pPr>
    <w:rPr>
      <w:rFonts w:ascii="Times New Roman" w:eastAsia="Times New Roman" w:hAnsi="Times New Roman" w:cs="Times New Roman"/>
      <w:sz w:val="20"/>
      <w:szCs w:val="20"/>
      <w:lang w:val="da-DK"/>
    </w:rPr>
  </w:style>
  <w:style w:type="paragraph" w:styleId="CommentSubject">
    <w:name w:val="annotation subject"/>
    <w:basedOn w:val="CommentText"/>
    <w:next w:val="CommentText"/>
    <w:link w:val="CommentSubjectChar"/>
    <w:rsid w:val="005B1350"/>
    <w:rPr>
      <w:rFonts w:ascii="Times New Roman" w:eastAsia="Times New Roman" w:hAnsi="Times New Roman"/>
      <w:b/>
      <w:bCs/>
      <w:lang w:val="da-DK"/>
    </w:rPr>
  </w:style>
  <w:style w:type="character" w:customStyle="1" w:styleId="CommentSubjectChar">
    <w:name w:val="Comment Subject Char"/>
    <w:basedOn w:val="CommentTextChar"/>
    <w:link w:val="CommentSubject"/>
    <w:rsid w:val="005B1350"/>
    <w:rPr>
      <w:rFonts w:ascii="Times New Roman" w:eastAsia="Times New Roman" w:hAnsi="Times New Roman" w:cs="Times New Roman"/>
      <w:b/>
      <w:bCs/>
      <w:sz w:val="20"/>
      <w:szCs w:val="20"/>
      <w:lang w:val="da-DK" w:eastAsia="ja-JP"/>
    </w:rPr>
  </w:style>
  <w:style w:type="paragraph" w:styleId="HTMLPreformatted">
    <w:name w:val="HTML Preformatted"/>
    <w:basedOn w:val="Normal"/>
    <w:link w:val="HTMLPreformattedChar"/>
    <w:uiPriority w:val="99"/>
    <w:unhideWhenUsed/>
    <w:rsid w:val="005B1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vi-VN" w:eastAsia="vi-VN"/>
    </w:rPr>
  </w:style>
  <w:style w:type="character" w:customStyle="1" w:styleId="HTMLPreformattedChar">
    <w:name w:val="HTML Preformatted Char"/>
    <w:basedOn w:val="DefaultParagraphFont"/>
    <w:link w:val="HTMLPreformatted"/>
    <w:uiPriority w:val="99"/>
    <w:rsid w:val="005B1350"/>
    <w:rPr>
      <w:rFonts w:ascii="Courier New" w:eastAsia="Times New Roman" w:hAnsi="Courier New" w:cs="Courier New"/>
      <w:sz w:val="20"/>
      <w:szCs w:val="20"/>
      <w:lang w:eastAsia="vi-VN"/>
    </w:rPr>
  </w:style>
  <w:style w:type="character" w:styleId="PlaceholderText">
    <w:name w:val="Placeholder Text"/>
    <w:basedOn w:val="DefaultParagraphFont"/>
    <w:uiPriority w:val="99"/>
    <w:semiHidden/>
    <w:rsid w:val="005B13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dmau@gdla.gov.vn"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Work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376770651760102"/>
          <c:y val="1.92503288655336E-2"/>
          <c:w val="0.38376249724509598"/>
          <c:h val="0.82583815978445496"/>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vi-VN"/>
              </a:p>
            </c:txPr>
            <c:showLegendKey val="0"/>
            <c:showVal val="1"/>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Sheet1!$G$9:$G$12</c:f>
              <c:strCache>
                <c:ptCount val="4"/>
                <c:pt idx="0">
                  <c:v>Thủ tục hành chính phức tạp</c:v>
                </c:pt>
                <c:pt idx="1">
                  <c:v>Không có GCNQSDĐ</c:v>
                </c:pt>
                <c:pt idx="2">
                  <c:v>Thuế, phí cao</c:v>
                </c:pt>
                <c:pt idx="3">
                  <c:v>Mất thời gian</c:v>
                </c:pt>
              </c:strCache>
            </c:strRef>
          </c:cat>
          <c:val>
            <c:numRef>
              <c:f>Sheet1!$H$9:$H$12</c:f>
              <c:numCache>
                <c:formatCode>General</c:formatCode>
                <c:ptCount val="4"/>
                <c:pt idx="0">
                  <c:v>9</c:v>
                </c:pt>
                <c:pt idx="1">
                  <c:v>3</c:v>
                </c:pt>
                <c:pt idx="2">
                  <c:v>2</c:v>
                </c:pt>
                <c:pt idx="3">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
          <c:y val="0.78255556226336986"/>
          <c:w val="1"/>
          <c:h val="0.1845857301791273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j-lt"/>
              <a:ea typeface="+mn-ea"/>
              <a:cs typeface="+mn-cs"/>
            </a:defRPr>
          </a:pPr>
          <a:endParaRPr lang="vi-VN"/>
        </a:p>
      </c:txPr>
    </c:legend>
    <c:plotVisOnly val="1"/>
    <c:dispBlanksAs val="gap"/>
    <c:showDLblsOverMax val="0"/>
  </c:chart>
  <c:spPr>
    <a:solidFill>
      <a:schemeClr val="bg1"/>
    </a:solidFill>
    <a:ln w="9525" cap="flat" cmpd="sng" algn="ctr">
      <a:noFill/>
      <a:round/>
    </a:ln>
    <a:effectLst/>
  </c:spPr>
  <c:txPr>
    <a:bodyPr/>
    <a:lstStyle/>
    <a:p>
      <a:pPr>
        <a:defRPr/>
      </a:pPr>
      <a:endParaRPr lang="vi-V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626765008804279"/>
          <c:y val="0.12698327239009655"/>
          <c:w val="0.75985580916309514"/>
          <c:h val="0.78489415318811639"/>
        </c:manualLayout>
      </c:layout>
      <c:barChart>
        <c:barDir val="bar"/>
        <c:grouping val="percentStacked"/>
        <c:varyColors val="0"/>
        <c:ser>
          <c:idx val="0"/>
          <c:order val="0"/>
          <c:tx>
            <c:strRef>
              <c:f>Sheet1!$B$8</c:f>
              <c:strCache>
                <c:ptCount val="1"/>
                <c:pt idx="0">
                  <c:v>Vượt xa mức mong đợi</c:v>
                </c:pt>
              </c:strCache>
            </c:strRef>
          </c:tx>
          <c:spPr>
            <a:solidFill>
              <a:schemeClr val="accent1">
                <a:alpha val="70000"/>
              </a:schemeClr>
            </a:solidFill>
            <a:ln>
              <a:noFill/>
            </a:ln>
            <a:effectLst/>
          </c:spPr>
          <c:invertIfNegative val="0"/>
          <c:dLbls>
            <c:delete val="1"/>
          </c:dLbls>
          <c:cat>
            <c:strRef>
              <c:f>Sheet1!$A$9:$A$16</c:f>
              <c:strCache>
                <c:ptCount val="8"/>
                <c:pt idx="0">
                  <c:v>Thuê/cho thuê lại</c:v>
                </c:pt>
                <c:pt idx="1">
                  <c:v>Bảo lãnh</c:v>
                </c:pt>
                <c:pt idx="2">
                  <c:v>Chuyển nhượng</c:v>
                </c:pt>
                <c:pt idx="3">
                  <c:v>Thế chấp</c:v>
                </c:pt>
                <c:pt idx="4">
                  <c:v>Chuyển đổi</c:v>
                </c:pt>
                <c:pt idx="5">
                  <c:v>Thừa kế</c:v>
                </c:pt>
                <c:pt idx="6">
                  <c:v>Chia tách thửa</c:v>
                </c:pt>
                <c:pt idx="7">
                  <c:v>Xin cấp GCNQSDĐ</c:v>
                </c:pt>
              </c:strCache>
            </c:strRef>
          </c:cat>
          <c:val>
            <c:numRef>
              <c:f>Sheet1!$B$9:$B$16</c:f>
              <c:numCache>
                <c:formatCode>General</c:formatCode>
                <c:ptCount val="8"/>
                <c:pt idx="0">
                  <c:v>0</c:v>
                </c:pt>
                <c:pt idx="1">
                  <c:v>0</c:v>
                </c:pt>
                <c:pt idx="2">
                  <c:v>0</c:v>
                </c:pt>
                <c:pt idx="3">
                  <c:v>2</c:v>
                </c:pt>
                <c:pt idx="4">
                  <c:v>1</c:v>
                </c:pt>
                <c:pt idx="5">
                  <c:v>2</c:v>
                </c:pt>
                <c:pt idx="6">
                  <c:v>2</c:v>
                </c:pt>
                <c:pt idx="7">
                  <c:v>6</c:v>
                </c:pt>
              </c:numCache>
            </c:numRef>
          </c:val>
        </c:ser>
        <c:ser>
          <c:idx val="1"/>
          <c:order val="1"/>
          <c:tx>
            <c:strRef>
              <c:f>Sheet1!$C$8</c:f>
              <c:strCache>
                <c:ptCount val="1"/>
                <c:pt idx="0">
                  <c:v>Trên mức mong đợi</c:v>
                </c:pt>
              </c:strCache>
            </c:strRef>
          </c:tx>
          <c:spPr>
            <a:solidFill>
              <a:schemeClr val="accent2">
                <a:alpha val="70000"/>
              </a:schemeClr>
            </a:solidFill>
            <a:ln>
              <a:noFill/>
            </a:ln>
            <a:effectLst/>
          </c:spPr>
          <c:invertIfNegative val="0"/>
          <c:dLbls>
            <c:delete val="1"/>
          </c:dLbls>
          <c:cat>
            <c:strRef>
              <c:f>Sheet1!$A$9:$A$16</c:f>
              <c:strCache>
                <c:ptCount val="8"/>
                <c:pt idx="0">
                  <c:v>Thuê/cho thuê lại</c:v>
                </c:pt>
                <c:pt idx="1">
                  <c:v>Bảo lãnh</c:v>
                </c:pt>
                <c:pt idx="2">
                  <c:v>Chuyển nhượng</c:v>
                </c:pt>
                <c:pt idx="3">
                  <c:v>Thế chấp</c:v>
                </c:pt>
                <c:pt idx="4">
                  <c:v>Chuyển đổi</c:v>
                </c:pt>
                <c:pt idx="5">
                  <c:v>Thừa kế</c:v>
                </c:pt>
                <c:pt idx="6">
                  <c:v>Chia tách thửa</c:v>
                </c:pt>
                <c:pt idx="7">
                  <c:v>Xin cấp GCNQSDĐ</c:v>
                </c:pt>
              </c:strCache>
            </c:strRef>
          </c:cat>
          <c:val>
            <c:numRef>
              <c:f>Sheet1!$C$9:$C$16</c:f>
              <c:numCache>
                <c:formatCode>General</c:formatCode>
                <c:ptCount val="8"/>
                <c:pt idx="0">
                  <c:v>15</c:v>
                </c:pt>
                <c:pt idx="1">
                  <c:v>17</c:v>
                </c:pt>
                <c:pt idx="2">
                  <c:v>22</c:v>
                </c:pt>
                <c:pt idx="3">
                  <c:v>25</c:v>
                </c:pt>
                <c:pt idx="4">
                  <c:v>23</c:v>
                </c:pt>
                <c:pt idx="5">
                  <c:v>34</c:v>
                </c:pt>
                <c:pt idx="6">
                  <c:v>30</c:v>
                </c:pt>
                <c:pt idx="7">
                  <c:v>28</c:v>
                </c:pt>
              </c:numCache>
            </c:numRef>
          </c:val>
        </c:ser>
        <c:ser>
          <c:idx val="2"/>
          <c:order val="2"/>
          <c:tx>
            <c:strRef>
              <c:f>Sheet1!$D$8</c:f>
              <c:strCache>
                <c:ptCount val="1"/>
                <c:pt idx="0">
                  <c:v>Đáp ứng</c:v>
                </c:pt>
              </c:strCache>
            </c:strRef>
          </c:tx>
          <c:spPr>
            <a:solidFill>
              <a:schemeClr val="accent3">
                <a:alpha val="70000"/>
              </a:schemeClr>
            </a:solidFill>
            <a:ln>
              <a:noFill/>
            </a:ln>
            <a:effectLst/>
          </c:spPr>
          <c:invertIfNegative val="0"/>
          <c:dLbls>
            <c:delete val="1"/>
          </c:dLbls>
          <c:cat>
            <c:strRef>
              <c:f>Sheet1!$A$9:$A$16</c:f>
              <c:strCache>
                <c:ptCount val="8"/>
                <c:pt idx="0">
                  <c:v>Thuê/cho thuê lại</c:v>
                </c:pt>
                <c:pt idx="1">
                  <c:v>Bảo lãnh</c:v>
                </c:pt>
                <c:pt idx="2">
                  <c:v>Chuyển nhượng</c:v>
                </c:pt>
                <c:pt idx="3">
                  <c:v>Thế chấp</c:v>
                </c:pt>
                <c:pt idx="4">
                  <c:v>Chuyển đổi</c:v>
                </c:pt>
                <c:pt idx="5">
                  <c:v>Thừa kế</c:v>
                </c:pt>
                <c:pt idx="6">
                  <c:v>Chia tách thửa</c:v>
                </c:pt>
                <c:pt idx="7">
                  <c:v>Xin cấp GCNQSDĐ</c:v>
                </c:pt>
              </c:strCache>
            </c:strRef>
          </c:cat>
          <c:val>
            <c:numRef>
              <c:f>Sheet1!$D$9:$D$16</c:f>
              <c:numCache>
                <c:formatCode>General</c:formatCode>
                <c:ptCount val="8"/>
                <c:pt idx="0">
                  <c:v>27</c:v>
                </c:pt>
                <c:pt idx="1">
                  <c:v>33</c:v>
                </c:pt>
                <c:pt idx="2">
                  <c:v>41</c:v>
                </c:pt>
                <c:pt idx="3">
                  <c:v>37</c:v>
                </c:pt>
                <c:pt idx="4">
                  <c:v>44</c:v>
                </c:pt>
                <c:pt idx="5">
                  <c:v>41</c:v>
                </c:pt>
                <c:pt idx="6">
                  <c:v>48</c:v>
                </c:pt>
                <c:pt idx="7">
                  <c:v>56</c:v>
                </c:pt>
              </c:numCache>
            </c:numRef>
          </c:val>
        </c:ser>
        <c:ser>
          <c:idx val="3"/>
          <c:order val="3"/>
          <c:tx>
            <c:strRef>
              <c:f>Sheet1!$E$8</c:f>
              <c:strCache>
                <c:ptCount val="1"/>
                <c:pt idx="0">
                  <c:v>Dưới mức mong đợi</c:v>
                </c:pt>
              </c:strCache>
            </c:strRef>
          </c:tx>
          <c:spPr>
            <a:solidFill>
              <a:schemeClr val="accent4">
                <a:alpha val="70000"/>
              </a:schemeClr>
            </a:solidFill>
            <a:ln>
              <a:noFill/>
            </a:ln>
            <a:effectLst/>
          </c:spPr>
          <c:invertIfNegative val="0"/>
          <c:dLbls>
            <c:delete val="1"/>
          </c:dLbls>
          <c:cat>
            <c:strRef>
              <c:f>Sheet1!$A$9:$A$16</c:f>
              <c:strCache>
                <c:ptCount val="8"/>
                <c:pt idx="0">
                  <c:v>Thuê/cho thuê lại</c:v>
                </c:pt>
                <c:pt idx="1">
                  <c:v>Bảo lãnh</c:v>
                </c:pt>
                <c:pt idx="2">
                  <c:v>Chuyển nhượng</c:v>
                </c:pt>
                <c:pt idx="3">
                  <c:v>Thế chấp</c:v>
                </c:pt>
                <c:pt idx="4">
                  <c:v>Chuyển đổi</c:v>
                </c:pt>
                <c:pt idx="5">
                  <c:v>Thừa kế</c:v>
                </c:pt>
                <c:pt idx="6">
                  <c:v>Chia tách thửa</c:v>
                </c:pt>
                <c:pt idx="7">
                  <c:v>Xin cấp GCNQSDĐ</c:v>
                </c:pt>
              </c:strCache>
            </c:strRef>
          </c:cat>
          <c:val>
            <c:numRef>
              <c:f>Sheet1!$E$9:$E$16</c:f>
              <c:numCache>
                <c:formatCode>General</c:formatCode>
                <c:ptCount val="8"/>
                <c:pt idx="0">
                  <c:v>76</c:v>
                </c:pt>
                <c:pt idx="1">
                  <c:v>67</c:v>
                </c:pt>
                <c:pt idx="2">
                  <c:v>57</c:v>
                </c:pt>
                <c:pt idx="3">
                  <c:v>54</c:v>
                </c:pt>
                <c:pt idx="4">
                  <c:v>50</c:v>
                </c:pt>
                <c:pt idx="5">
                  <c:v>44</c:v>
                </c:pt>
                <c:pt idx="6">
                  <c:v>41</c:v>
                </c:pt>
                <c:pt idx="7">
                  <c:v>32</c:v>
                </c:pt>
              </c:numCache>
            </c:numRef>
          </c:val>
        </c:ser>
        <c:ser>
          <c:idx val="4"/>
          <c:order val="4"/>
          <c:tx>
            <c:strRef>
              <c:f>Sheet1!$F$8</c:f>
              <c:strCache>
                <c:ptCount val="1"/>
                <c:pt idx="0">
                  <c:v>Dưới xa mức mong đợi</c:v>
                </c:pt>
              </c:strCache>
            </c:strRef>
          </c:tx>
          <c:spPr>
            <a:solidFill>
              <a:schemeClr val="accent5">
                <a:alpha val="70000"/>
              </a:schemeClr>
            </a:solidFill>
            <a:ln>
              <a:noFill/>
            </a:ln>
            <a:effectLst/>
          </c:spPr>
          <c:invertIfNegative val="0"/>
          <c:dLbls>
            <c:delete val="1"/>
          </c:dLbls>
          <c:cat>
            <c:strRef>
              <c:f>Sheet1!$A$9:$A$16</c:f>
              <c:strCache>
                <c:ptCount val="8"/>
                <c:pt idx="0">
                  <c:v>Thuê/cho thuê lại</c:v>
                </c:pt>
                <c:pt idx="1">
                  <c:v>Bảo lãnh</c:v>
                </c:pt>
                <c:pt idx="2">
                  <c:v>Chuyển nhượng</c:v>
                </c:pt>
                <c:pt idx="3">
                  <c:v>Thế chấp</c:v>
                </c:pt>
                <c:pt idx="4">
                  <c:v>Chuyển đổi</c:v>
                </c:pt>
                <c:pt idx="5">
                  <c:v>Thừa kế</c:v>
                </c:pt>
                <c:pt idx="6">
                  <c:v>Chia tách thửa</c:v>
                </c:pt>
                <c:pt idx="7">
                  <c:v>Xin cấp GCNQSDĐ</c:v>
                </c:pt>
              </c:strCache>
            </c:strRef>
          </c:cat>
          <c:val>
            <c:numRef>
              <c:f>Sheet1!$F$9:$F$16</c:f>
              <c:numCache>
                <c:formatCode>General</c:formatCode>
                <c:ptCount val="8"/>
                <c:pt idx="0">
                  <c:v>4</c:v>
                </c:pt>
                <c:pt idx="1">
                  <c:v>5</c:v>
                </c:pt>
                <c:pt idx="2">
                  <c:v>1</c:v>
                </c:pt>
                <c:pt idx="3">
                  <c:v>4</c:v>
                </c:pt>
                <c:pt idx="4">
                  <c:v>4</c:v>
                </c:pt>
                <c:pt idx="5">
                  <c:v>1</c:v>
                </c:pt>
                <c:pt idx="6">
                  <c:v>1</c:v>
                </c:pt>
                <c:pt idx="7">
                  <c:v>0</c:v>
                </c:pt>
              </c:numCache>
            </c:numRef>
          </c:val>
        </c:ser>
        <c:dLbls>
          <c:dLblPos val="ctr"/>
          <c:showLegendKey val="0"/>
          <c:showVal val="1"/>
          <c:showCatName val="0"/>
          <c:showSerName val="0"/>
          <c:showPercent val="0"/>
          <c:showBubbleSize val="0"/>
        </c:dLbls>
        <c:gapWidth val="50"/>
        <c:overlap val="100"/>
        <c:axId val="1068338080"/>
        <c:axId val="1068340880"/>
      </c:barChart>
      <c:catAx>
        <c:axId val="1068338080"/>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1050" b="0" i="0" u="none" strike="noStrike" kern="1200" baseline="0">
                <a:solidFill>
                  <a:schemeClr val="tx1"/>
                </a:solidFill>
                <a:latin typeface="Times New Roman" charset="0"/>
                <a:ea typeface="Times New Roman" charset="0"/>
                <a:cs typeface="Times New Roman" charset="0"/>
              </a:defRPr>
            </a:pPr>
            <a:endParaRPr lang="vi-VN"/>
          </a:p>
        </c:txPr>
        <c:crossAx val="1068340880"/>
        <c:crosses val="autoZero"/>
        <c:auto val="1"/>
        <c:lblAlgn val="ctr"/>
        <c:lblOffset val="100"/>
        <c:noMultiLvlLbl val="0"/>
      </c:catAx>
      <c:valAx>
        <c:axId val="1068340880"/>
        <c:scaling>
          <c:orientation val="minMax"/>
        </c:scaling>
        <c:delete val="0"/>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vi-VN"/>
          </a:p>
        </c:txPr>
        <c:crossAx val="1068338080"/>
        <c:crosses val="autoZero"/>
        <c:crossBetween val="between"/>
      </c:valAx>
      <c:spPr>
        <a:noFill/>
        <a:ln>
          <a:noFill/>
        </a:ln>
        <a:effectLst/>
      </c:spPr>
    </c:plotArea>
    <c:legend>
      <c:legendPos val="t"/>
      <c:layout>
        <c:manualLayout>
          <c:xMode val="edge"/>
          <c:yMode val="edge"/>
          <c:x val="1.1427572694373701E-3"/>
          <c:y val="2.8996013048205899E-2"/>
          <c:w val="0.98941642770745297"/>
          <c:h val="9.673598492496129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endParaRPr lang="vi-VN"/>
        </a:p>
      </c:txPr>
    </c:legend>
    <c:plotVisOnly val="1"/>
    <c:dispBlanksAs val="gap"/>
    <c:showDLblsOverMax val="0"/>
  </c:chart>
  <c:spPr>
    <a:solidFill>
      <a:schemeClr val="bg1"/>
    </a:solidFill>
    <a:ln w="9525" cap="flat" cmpd="sng" algn="ctr">
      <a:noFill/>
      <a:round/>
    </a:ln>
    <a:effectLst/>
  </c:spPr>
  <c:txPr>
    <a:bodyPr/>
    <a:lstStyle/>
    <a:p>
      <a:pPr>
        <a:defRPr/>
      </a:pPr>
      <a:endParaRPr lang="vi-V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0B8D9-20A2-41E3-807D-D6C3C071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19</Pages>
  <Words>8066</Words>
  <Characters>45981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 Duc Ngo</dc:creator>
  <cp:keywords/>
  <dc:description/>
  <cp:lastModifiedBy>Mau Duc Ngo</cp:lastModifiedBy>
  <cp:revision>4</cp:revision>
  <dcterms:created xsi:type="dcterms:W3CDTF">2017-08-14T04:07:00Z</dcterms:created>
  <dcterms:modified xsi:type="dcterms:W3CDTF">2017-10-25T07:18:00Z</dcterms:modified>
</cp:coreProperties>
</file>