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CE9E6" w14:textId="2E6CAC17" w:rsidR="00451827" w:rsidRPr="00FC617C" w:rsidRDefault="00EC7BC2" w:rsidP="00FC617C">
      <w:pPr>
        <w:widowControl w:val="0"/>
        <w:autoSpaceDE w:val="0"/>
        <w:autoSpaceDN w:val="0"/>
        <w:adjustRightInd w:val="0"/>
        <w:spacing w:line="480" w:lineRule="auto"/>
        <w:jc w:val="center"/>
        <w:rPr>
          <w:rFonts w:ascii="Times New Roman" w:hAnsi="Times New Roman" w:cs="Times New Roman"/>
          <w:b/>
          <w:color w:val="000000" w:themeColor="text1"/>
          <w:kern w:val="1"/>
          <w:sz w:val="28"/>
          <w:szCs w:val="28"/>
          <w:lang w:val="en-US"/>
        </w:rPr>
      </w:pPr>
      <w:r w:rsidRPr="00FC617C">
        <w:rPr>
          <w:rFonts w:ascii="Times New Roman" w:hAnsi="Times New Roman" w:cs="Times New Roman"/>
          <w:b/>
          <w:color w:val="000000" w:themeColor="text1"/>
          <w:kern w:val="1"/>
          <w:sz w:val="28"/>
          <w:szCs w:val="28"/>
          <w:lang w:val="en-US"/>
        </w:rPr>
        <w:t>Tiếp cận mới trong t</w:t>
      </w:r>
      <w:r w:rsidR="00451827" w:rsidRPr="00FC617C">
        <w:rPr>
          <w:rFonts w:ascii="Times New Roman" w:hAnsi="Times New Roman" w:cs="Times New Roman"/>
          <w:b/>
          <w:color w:val="000000" w:themeColor="text1"/>
          <w:kern w:val="1"/>
          <w:sz w:val="28"/>
          <w:szCs w:val="28"/>
          <w:lang w:val="en-US"/>
        </w:rPr>
        <w:t>hay đổi chính sách an ninh lương thực của Việt Nam</w:t>
      </w:r>
    </w:p>
    <w:p w14:paraId="59B79AFC" w14:textId="0FA602C9" w:rsidR="00E509C5" w:rsidRPr="00A9566B" w:rsidRDefault="00E509C5" w:rsidP="00FC617C">
      <w:pPr>
        <w:pStyle w:val="ListParagraph"/>
        <w:spacing w:after="0" w:line="480" w:lineRule="auto"/>
        <w:ind w:left="0" w:firstLine="567"/>
        <w:jc w:val="right"/>
        <w:rPr>
          <w:rFonts w:ascii="Times New Roman" w:hAnsi="Times New Roman"/>
          <w:i/>
          <w:sz w:val="24"/>
          <w:szCs w:val="24"/>
          <w:lang w:val="en-US"/>
        </w:rPr>
      </w:pPr>
      <w:r w:rsidRPr="00662C45">
        <w:rPr>
          <w:rFonts w:ascii="Times New Roman" w:hAnsi="Times New Roman"/>
          <w:i/>
          <w:sz w:val="24"/>
          <w:szCs w:val="24"/>
          <w:lang w:val="en-US"/>
        </w:rPr>
        <w:t>TS. Nguyễn Quỳnh Huy</w:t>
      </w:r>
      <w:r w:rsidR="00A9566B">
        <w:rPr>
          <w:rFonts w:ascii="Times New Roman" w:hAnsi="Times New Roman"/>
          <w:i/>
          <w:sz w:val="24"/>
          <w:szCs w:val="24"/>
          <w:vertAlign w:val="superscript"/>
          <w:lang w:val="en-US"/>
        </w:rPr>
        <w:t>*</w:t>
      </w:r>
    </w:p>
    <w:p w14:paraId="656EFB7D" w14:textId="77777777" w:rsidR="00E0311B" w:rsidRDefault="00E0311B" w:rsidP="00953C0B">
      <w:pPr>
        <w:widowControl w:val="0"/>
        <w:autoSpaceDE w:val="0"/>
        <w:autoSpaceDN w:val="0"/>
        <w:adjustRightInd w:val="0"/>
        <w:spacing w:line="480" w:lineRule="auto"/>
        <w:jc w:val="both"/>
        <w:rPr>
          <w:rFonts w:ascii="Times New Roman" w:hAnsi="Times New Roman" w:cs="Times New Roman"/>
          <w:color w:val="000000" w:themeColor="text1"/>
          <w:kern w:val="1"/>
          <w:lang w:val="en-US"/>
        </w:rPr>
      </w:pPr>
    </w:p>
    <w:p w14:paraId="5AA8F955" w14:textId="7976F2A1" w:rsidR="00FC617C" w:rsidRPr="00FC617C" w:rsidRDefault="00FC617C" w:rsidP="00FC617C">
      <w:pPr>
        <w:widowControl w:val="0"/>
        <w:autoSpaceDE w:val="0"/>
        <w:autoSpaceDN w:val="0"/>
        <w:adjustRightInd w:val="0"/>
        <w:spacing w:line="480" w:lineRule="auto"/>
        <w:ind w:firstLine="567"/>
        <w:jc w:val="center"/>
        <w:rPr>
          <w:rFonts w:ascii="Times New Roman" w:hAnsi="Times New Roman" w:cs="Times New Roman"/>
          <w:b/>
          <w:color w:val="000000" w:themeColor="text1"/>
          <w:kern w:val="1"/>
          <w:lang w:val="en-US"/>
        </w:rPr>
      </w:pPr>
      <w:r w:rsidRPr="00FC617C">
        <w:rPr>
          <w:rFonts w:ascii="Times New Roman" w:hAnsi="Times New Roman" w:cs="Times New Roman"/>
          <w:b/>
          <w:color w:val="000000" w:themeColor="text1"/>
          <w:kern w:val="1"/>
          <w:lang w:val="en-US"/>
        </w:rPr>
        <w:t>Tóm tắt</w:t>
      </w:r>
    </w:p>
    <w:p w14:paraId="0B30F5A2" w14:textId="21FB0F51" w:rsidR="00FC617C" w:rsidRDefault="00A05186"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E5122">
        <w:rPr>
          <w:rFonts w:ascii="Times New Roman" w:hAnsi="Times New Roman" w:cs="Times New Roman"/>
          <w:color w:val="000000" w:themeColor="text1"/>
          <w:sz w:val="24"/>
          <w:szCs w:val="24"/>
          <w:lang w:val="vi-VN"/>
        </w:rPr>
        <w:t>Từ khi bắt đầu cải cách kinh tế vào năm 1986, chính sách an ninh lương thực của Việt Nam chủ yếu tập trung vào việc tăng nguồn cung</w:t>
      </w:r>
      <w:r w:rsidR="00EC7BC2" w:rsidRPr="005E5122">
        <w:rPr>
          <w:rFonts w:ascii="Times New Roman" w:hAnsi="Times New Roman" w:cs="Times New Roman"/>
          <w:color w:val="000000" w:themeColor="text1"/>
          <w:sz w:val="24"/>
          <w:szCs w:val="24"/>
          <w:lang w:val="vi-VN"/>
        </w:rPr>
        <w:t xml:space="preserve"> về</w:t>
      </w:r>
      <w:r w:rsidRPr="005E5122">
        <w:rPr>
          <w:rFonts w:ascii="Times New Roman" w:hAnsi="Times New Roman" w:cs="Times New Roman"/>
          <w:color w:val="000000" w:themeColor="text1"/>
          <w:sz w:val="24"/>
          <w:szCs w:val="24"/>
          <w:lang w:val="vi-VN"/>
        </w:rPr>
        <w:t xml:space="preserve"> gạo, đặc biệ</w:t>
      </w:r>
      <w:r w:rsidR="00EC7BC2" w:rsidRPr="005E5122">
        <w:rPr>
          <w:rFonts w:ascii="Times New Roman" w:hAnsi="Times New Roman" w:cs="Times New Roman"/>
          <w:color w:val="000000" w:themeColor="text1"/>
          <w:sz w:val="24"/>
          <w:szCs w:val="24"/>
          <w:lang w:val="vi-VN"/>
        </w:rPr>
        <w:t>t là</w:t>
      </w:r>
      <w:r w:rsidRPr="005E5122">
        <w:rPr>
          <w:rFonts w:ascii="Times New Roman" w:hAnsi="Times New Roman" w:cs="Times New Roman"/>
          <w:color w:val="000000" w:themeColor="text1"/>
          <w:sz w:val="24"/>
          <w:szCs w:val="24"/>
          <w:lang w:val="vi-VN"/>
        </w:rPr>
        <w:t xml:space="preserve"> giữ ổn định đấ</w:t>
      </w:r>
      <w:r w:rsidR="00EC7BC2" w:rsidRPr="005E5122">
        <w:rPr>
          <w:rFonts w:ascii="Times New Roman" w:hAnsi="Times New Roman" w:cs="Times New Roman"/>
          <w:color w:val="000000" w:themeColor="text1"/>
          <w:sz w:val="24"/>
          <w:szCs w:val="24"/>
          <w:lang w:val="vi-VN"/>
        </w:rPr>
        <w:t>t lúa</w:t>
      </w:r>
      <w:r w:rsidRPr="005E5122">
        <w:rPr>
          <w:rFonts w:ascii="Times New Roman" w:hAnsi="Times New Roman" w:cs="Times New Roman"/>
          <w:color w:val="000000" w:themeColor="text1"/>
          <w:sz w:val="24"/>
          <w:szCs w:val="24"/>
          <w:lang w:val="vi-VN"/>
        </w:rPr>
        <w:t xml:space="preserve"> và hạn chế chuyển đổi sang các loại cây trồ</w:t>
      </w:r>
      <w:r w:rsidR="00FC617C">
        <w:rPr>
          <w:rFonts w:ascii="Times New Roman" w:hAnsi="Times New Roman" w:cs="Times New Roman"/>
          <w:color w:val="000000" w:themeColor="text1"/>
          <w:sz w:val="24"/>
          <w:szCs w:val="24"/>
          <w:lang w:val="vi-VN"/>
        </w:rPr>
        <w:t>ng khác</w:t>
      </w:r>
      <w:r w:rsidRPr="005E5122">
        <w:rPr>
          <w:rFonts w:ascii="Times New Roman" w:hAnsi="Times New Roman" w:cs="Times New Roman"/>
          <w:color w:val="000000" w:themeColor="text1"/>
          <w:sz w:val="24"/>
          <w:szCs w:val="24"/>
          <w:lang w:val="vi-VN"/>
        </w:rPr>
        <w:t>. Theo cách tiếp cận chính sách t</w:t>
      </w:r>
      <w:r w:rsidR="00C67835">
        <w:rPr>
          <w:rFonts w:ascii="Times New Roman" w:hAnsi="Times New Roman" w:cs="Times New Roman"/>
          <w:color w:val="000000" w:themeColor="text1"/>
          <w:sz w:val="24"/>
          <w:szCs w:val="24"/>
          <w:lang w:val="vi-VN"/>
        </w:rPr>
        <w:t>ự chủ về</w:t>
      </w:r>
      <w:r w:rsidRPr="005E5122">
        <w:rPr>
          <w:rFonts w:ascii="Times New Roman" w:hAnsi="Times New Roman" w:cs="Times New Roman"/>
          <w:color w:val="000000" w:themeColor="text1"/>
          <w:sz w:val="24"/>
          <w:szCs w:val="24"/>
          <w:lang w:val="vi-VN"/>
        </w:rPr>
        <w:t xml:space="preserve"> gạo, Chính phủ khuyế</w:t>
      </w:r>
      <w:r w:rsidR="00EC7BC2" w:rsidRPr="005E5122">
        <w:rPr>
          <w:rFonts w:ascii="Times New Roman" w:hAnsi="Times New Roman" w:cs="Times New Roman"/>
          <w:color w:val="000000" w:themeColor="text1"/>
          <w:sz w:val="24"/>
          <w:szCs w:val="24"/>
          <w:lang w:val="vi-VN"/>
        </w:rPr>
        <w:t>n khích nông dân</w:t>
      </w:r>
      <w:r w:rsidRPr="005E5122">
        <w:rPr>
          <w:rFonts w:ascii="Times New Roman" w:hAnsi="Times New Roman" w:cs="Times New Roman"/>
          <w:color w:val="000000" w:themeColor="text1"/>
          <w:sz w:val="24"/>
          <w:szCs w:val="24"/>
          <w:lang w:val="vi-VN"/>
        </w:rPr>
        <w:t xml:space="preserve"> tiếp tụ</w:t>
      </w:r>
      <w:r w:rsidR="00EC7BC2" w:rsidRPr="005E5122">
        <w:rPr>
          <w:rFonts w:ascii="Times New Roman" w:hAnsi="Times New Roman" w:cs="Times New Roman"/>
          <w:color w:val="000000" w:themeColor="text1"/>
          <w:sz w:val="24"/>
          <w:szCs w:val="24"/>
          <w:lang w:val="vi-VN"/>
        </w:rPr>
        <w:t>c duy trì việc trồng lúa</w:t>
      </w:r>
      <w:r w:rsidRPr="005E5122">
        <w:rPr>
          <w:rFonts w:ascii="Times New Roman" w:hAnsi="Times New Roman" w:cs="Times New Roman"/>
          <w:color w:val="000000" w:themeColor="text1"/>
          <w:sz w:val="24"/>
          <w:szCs w:val="24"/>
          <w:lang w:val="vi-VN"/>
        </w:rPr>
        <w:t xml:space="preserve">. </w:t>
      </w:r>
      <w:r w:rsidR="00FC617C">
        <w:rPr>
          <w:rFonts w:ascii="Times New Roman" w:hAnsi="Times New Roman" w:cs="Times New Roman"/>
          <w:color w:val="000000" w:themeColor="text1"/>
          <w:sz w:val="24"/>
          <w:szCs w:val="24"/>
          <w:lang w:val="vi-VN"/>
        </w:rPr>
        <w:t xml:space="preserve">Tuy nhiên, </w:t>
      </w:r>
      <w:r w:rsidR="00FC617C">
        <w:rPr>
          <w:rFonts w:ascii="Times New Roman" w:hAnsi="Times New Roman" w:cs="Times New Roman"/>
          <w:sz w:val="24"/>
          <w:szCs w:val="24"/>
        </w:rPr>
        <w:t>t</w:t>
      </w:r>
      <w:r w:rsidR="00FC617C">
        <w:rPr>
          <w:rFonts w:ascii="Times New Roman" w:hAnsi="Times New Roman" w:cs="Times New Roman"/>
          <w:sz w:val="24"/>
          <w:szCs w:val="24"/>
        </w:rPr>
        <w:t>rong bối cảnh chuyển dịch cơ cấu đang diễn ra mạnh mẽ</w:t>
      </w:r>
      <w:r w:rsidR="00FC617C">
        <w:rPr>
          <w:rFonts w:ascii="Times New Roman" w:hAnsi="Times New Roman" w:cs="Times New Roman"/>
          <w:sz w:val="24"/>
          <w:szCs w:val="24"/>
        </w:rPr>
        <w:t xml:space="preserve">, </w:t>
      </w:r>
      <w:r w:rsidR="00953C0B">
        <w:rPr>
          <w:rFonts w:ascii="Times New Roman" w:hAnsi="Times New Roman" w:cs="Times New Roman"/>
          <w:sz w:val="24"/>
          <w:szCs w:val="24"/>
        </w:rPr>
        <w:t>cùng với những tác động của biến đổi khí hậu ở đồng bằng sông Cửu</w:t>
      </w:r>
      <w:r w:rsidR="00953C0B">
        <w:rPr>
          <w:rFonts w:ascii="Times New Roman" w:hAnsi="Times New Roman" w:cs="Times New Roman"/>
          <w:sz w:val="24"/>
          <w:szCs w:val="24"/>
        </w:rPr>
        <w:t xml:space="preserve">, </w:t>
      </w:r>
      <w:r w:rsidR="00FC617C">
        <w:rPr>
          <w:rFonts w:ascii="Times New Roman" w:hAnsi="Times New Roman" w:cs="Times New Roman"/>
          <w:sz w:val="24"/>
          <w:szCs w:val="24"/>
        </w:rPr>
        <w:t>xu hướng bỏ ruộ</w:t>
      </w:r>
      <w:r w:rsidR="003425E5">
        <w:rPr>
          <w:rFonts w:ascii="Times New Roman" w:hAnsi="Times New Roman" w:cs="Times New Roman"/>
          <w:sz w:val="24"/>
          <w:szCs w:val="24"/>
        </w:rPr>
        <w:t xml:space="preserve">ng </w:t>
      </w:r>
      <w:r w:rsidR="00FC617C">
        <w:rPr>
          <w:rFonts w:ascii="Times New Roman" w:hAnsi="Times New Roman" w:cs="Times New Roman"/>
          <w:sz w:val="24"/>
          <w:szCs w:val="24"/>
        </w:rPr>
        <w:t xml:space="preserve">đang diễn ra, </w:t>
      </w:r>
      <w:r w:rsidR="00FC617C">
        <w:rPr>
          <w:rFonts w:ascii="Times New Roman" w:hAnsi="Times New Roman" w:cs="Times New Roman"/>
          <w:sz w:val="24"/>
          <w:szCs w:val="24"/>
        </w:rPr>
        <w:t>thì sản xuất lúa gạo</w:t>
      </w:r>
      <w:r w:rsidR="00FC617C">
        <w:rPr>
          <w:rFonts w:ascii="Times New Roman" w:hAnsi="Times New Roman" w:cs="Times New Roman"/>
          <w:sz w:val="24"/>
          <w:szCs w:val="24"/>
        </w:rPr>
        <w:t xml:space="preserve"> đang mất dần lợi thế so sánh do diện tích nhỏ</w:t>
      </w:r>
      <w:r w:rsidR="00953C0B">
        <w:rPr>
          <w:rFonts w:ascii="Times New Roman" w:hAnsi="Times New Roman" w:cs="Times New Roman"/>
          <w:sz w:val="24"/>
          <w:szCs w:val="24"/>
        </w:rPr>
        <w:t>, manh mún. Do v</w:t>
      </w:r>
      <w:r w:rsidR="00953C0B">
        <w:rPr>
          <w:rFonts w:ascii="Times New Roman" w:hAnsi="Times New Roman" w:cs="Times New Roman"/>
          <w:sz w:val="24"/>
          <w:szCs w:val="24"/>
          <w:lang w:val="vi-VN"/>
        </w:rPr>
        <w:t>ậy,</w:t>
      </w:r>
      <w:r w:rsidR="00FC617C">
        <w:rPr>
          <w:rFonts w:ascii="Times New Roman" w:hAnsi="Times New Roman" w:cs="Times New Roman"/>
          <w:sz w:val="24"/>
          <w:szCs w:val="24"/>
        </w:rPr>
        <w:t xml:space="preserve"> </w:t>
      </w:r>
      <w:r w:rsidR="00FC617C">
        <w:rPr>
          <w:rFonts w:ascii="Times New Roman" w:hAnsi="Times New Roman" w:cs="Times New Roman"/>
          <w:color w:val="000000" w:themeColor="text1"/>
          <w:sz w:val="24"/>
          <w:szCs w:val="24"/>
          <w:lang w:val="vi-VN"/>
        </w:rPr>
        <w:t>“</w:t>
      </w:r>
      <w:r w:rsidR="00FC617C" w:rsidRPr="005E5122">
        <w:rPr>
          <w:rFonts w:ascii="Times New Roman" w:hAnsi="Times New Roman" w:cs="Times New Roman"/>
          <w:color w:val="000000" w:themeColor="text1"/>
          <w:sz w:val="24"/>
          <w:szCs w:val="24"/>
          <w:lang w:val="vi-VN"/>
        </w:rPr>
        <w:t>chính sách "lúa gạo trước tiên" cần được xem xét lạ</w:t>
      </w:r>
      <w:r w:rsidR="00FC617C">
        <w:rPr>
          <w:rFonts w:ascii="Times New Roman" w:hAnsi="Times New Roman" w:cs="Times New Roman"/>
          <w:color w:val="000000" w:themeColor="text1"/>
          <w:sz w:val="24"/>
          <w:szCs w:val="24"/>
          <w:lang w:val="vi-VN"/>
        </w:rPr>
        <w:t>i. Bài viết đã chỉ ra những thách thức đối với trồng lúa ở quy mô nhỏ và vai trò của đa dạng hoá cơ cấu để cải thiện sinh kế hộ gia đình. Điều này đòi hỏi phải có sự thay đổi căn bản trong cách tiếp cận về chính sách an ninh lương thực của Việt Nam.</w:t>
      </w:r>
    </w:p>
    <w:p w14:paraId="6784D710" w14:textId="1341E734" w:rsidR="00F873AB" w:rsidRDefault="00F873AB" w:rsidP="00FC617C">
      <w:pPr>
        <w:pStyle w:val="HTMLPreformatted"/>
        <w:spacing w:line="480" w:lineRule="auto"/>
        <w:ind w:firstLine="567"/>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Từ khoá: an ninh lương thực, tự chủ gạo, chính sách lúa gạo trước tiên, nông nghiệp quy mô nhỏ, nông thôn Việt Nam</w:t>
      </w:r>
      <w:r w:rsidR="00CC3819">
        <w:rPr>
          <w:rFonts w:ascii="Times New Roman" w:hAnsi="Times New Roman" w:cs="Times New Roman"/>
          <w:color w:val="000000" w:themeColor="text1"/>
          <w:sz w:val="24"/>
          <w:szCs w:val="24"/>
          <w:lang w:val="vi-VN"/>
        </w:rPr>
        <w:t>.</w:t>
      </w:r>
    </w:p>
    <w:p w14:paraId="7C247B94" w14:textId="77777777" w:rsidR="00953C0B" w:rsidRDefault="00953C0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1EA5DD45" w14:textId="77777777" w:rsidR="00953C0B" w:rsidRDefault="00953C0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5C266752" w14:textId="77777777" w:rsidR="00953C0B" w:rsidRDefault="00953C0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6E244978" w14:textId="77777777" w:rsidR="00953C0B" w:rsidRDefault="00953C0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01236334" w14:textId="77777777" w:rsidR="00953C0B" w:rsidRDefault="00953C0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5A176DD" w14:textId="77777777" w:rsidR="00953C0B" w:rsidRDefault="00953C0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856AB07" w14:textId="77777777" w:rsidR="00953C0B" w:rsidRDefault="00953C0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1B53850F" w14:textId="77777777" w:rsidR="00953C0B" w:rsidRPr="00A9566B" w:rsidRDefault="00953C0B" w:rsidP="00953C0B">
      <w:pPr>
        <w:pStyle w:val="FootnoteText"/>
        <w:spacing w:line="480" w:lineRule="auto"/>
        <w:ind w:firstLine="567"/>
        <w:jc w:val="both"/>
        <w:rPr>
          <w:rFonts w:ascii="Times New Roman" w:hAnsi="Times New Roman" w:cs="Times New Roman"/>
          <w:lang w:val="vi-VN"/>
        </w:rPr>
      </w:pPr>
      <w:r w:rsidRPr="00A9566B">
        <w:rPr>
          <w:rFonts w:ascii="Times New Roman" w:hAnsi="Times New Roman" w:cs="Times New Roman"/>
          <w:lang w:val="vi-VN"/>
        </w:rPr>
        <w:t xml:space="preserve">*Khoa Hành chính học, Học viện Hành chính Quốc gia, 77 Nguyễn Chí Thanh, Đống Đa, Hà Nội; Email: </w:t>
      </w:r>
      <w:hyperlink r:id="rId6" w:history="1">
        <w:r w:rsidRPr="00A9566B">
          <w:rPr>
            <w:rStyle w:val="Hyperlink"/>
            <w:rFonts w:ascii="Times New Roman" w:hAnsi="Times New Roman" w:cs="Times New Roman"/>
            <w:lang w:val="vi-VN"/>
          </w:rPr>
          <w:t>huynq@napa.vn</w:t>
        </w:r>
      </w:hyperlink>
      <w:r w:rsidRPr="00A9566B">
        <w:rPr>
          <w:rFonts w:ascii="Times New Roman" w:hAnsi="Times New Roman" w:cs="Times New Roman"/>
          <w:lang w:val="vi-VN"/>
        </w:rPr>
        <w:t>; Tel: +84 93464 2778</w:t>
      </w:r>
    </w:p>
    <w:p w14:paraId="4858D721" w14:textId="624F840A" w:rsidR="00CC3819" w:rsidRPr="00953C0B" w:rsidRDefault="00CC3819" w:rsidP="00953C0B">
      <w:pPr>
        <w:pStyle w:val="HTMLPreformatted"/>
        <w:spacing w:line="480" w:lineRule="auto"/>
        <w:ind w:firstLine="567"/>
        <w:jc w:val="center"/>
        <w:rPr>
          <w:rFonts w:ascii="Times New Roman" w:hAnsi="Times New Roman" w:cs="Times New Roman"/>
          <w:b/>
          <w:color w:val="000000" w:themeColor="text1"/>
          <w:sz w:val="24"/>
          <w:szCs w:val="24"/>
          <w:lang w:val="vi-VN"/>
        </w:rPr>
      </w:pPr>
      <w:r w:rsidRPr="00953C0B">
        <w:rPr>
          <w:rFonts w:ascii="Times New Roman" w:hAnsi="Times New Roman" w:cs="Times New Roman"/>
          <w:b/>
          <w:color w:val="000000" w:themeColor="text1"/>
          <w:sz w:val="24"/>
          <w:szCs w:val="24"/>
          <w:lang w:val="vi-VN"/>
        </w:rPr>
        <w:lastRenderedPageBreak/>
        <w:t>Abstract</w:t>
      </w:r>
    </w:p>
    <w:p w14:paraId="1E3E0C85" w14:textId="19C02A53" w:rsidR="000D60F5" w:rsidRPr="00953C0B" w:rsidRDefault="000D60F5" w:rsidP="000D60F5">
      <w:pPr>
        <w:pStyle w:val="HTMLPreformatted"/>
        <w:spacing w:line="480" w:lineRule="auto"/>
        <w:ind w:firstLine="567"/>
        <w:jc w:val="both"/>
        <w:rPr>
          <w:rFonts w:ascii="Times New Roman" w:hAnsi="Times New Roman" w:cs="Times New Roman"/>
          <w:sz w:val="24"/>
          <w:szCs w:val="24"/>
        </w:rPr>
      </w:pPr>
      <w:r w:rsidRPr="00953C0B">
        <w:rPr>
          <w:rFonts w:ascii="Times New Roman" w:hAnsi="Times New Roman" w:cs="Times New Roman"/>
          <w:spacing w:val="-2"/>
          <w:sz w:val="24"/>
          <w:szCs w:val="24"/>
        </w:rPr>
        <w:t>Since the beginning of economic reforms in 1986, Vietnam’s food security policy has mainly focused on how to increase the supply of rice, particularly by keeping paddy land stable and through restrictions on converting to other crops and nonfarm activities.</w:t>
      </w:r>
      <w:r w:rsidRPr="00953C0B">
        <w:rPr>
          <w:rFonts w:ascii="Times New Roman" w:hAnsi="Times New Roman" w:cs="Times New Roman"/>
          <w:spacing w:val="-2"/>
          <w:sz w:val="24"/>
          <w:szCs w:val="24"/>
        </w:rPr>
        <w:t xml:space="preserve"> </w:t>
      </w:r>
      <w:r w:rsidRPr="00953C0B">
        <w:rPr>
          <w:rFonts w:ascii="Times New Roman" w:hAnsi="Times New Roman" w:cs="Times New Roman"/>
          <w:sz w:val="24"/>
          <w:szCs w:val="24"/>
        </w:rPr>
        <w:t>Under the rice self-sufficiency policy approach, the Government encourages rice farmers to continue to produce rice.</w:t>
      </w:r>
      <w:r w:rsidRPr="00953C0B">
        <w:rPr>
          <w:rFonts w:ascii="Times New Roman" w:hAnsi="Times New Roman" w:cs="Times New Roman"/>
          <w:sz w:val="24"/>
          <w:szCs w:val="24"/>
        </w:rPr>
        <w:t xml:space="preserve"> However, in light of rapid economic structural transformation,</w:t>
      </w:r>
      <w:r w:rsidR="00953C0B" w:rsidRPr="00953C0B">
        <w:rPr>
          <w:rFonts w:ascii="Times New Roman" w:hAnsi="Times New Roman" w:cs="Times New Roman"/>
          <w:sz w:val="24"/>
          <w:szCs w:val="24"/>
        </w:rPr>
        <w:t xml:space="preserve"> </w:t>
      </w:r>
      <w:r w:rsidR="00953C0B" w:rsidRPr="00953C0B">
        <w:rPr>
          <w:rFonts w:ascii="Times New Roman" w:hAnsi="Times New Roman" w:cs="Times New Roman"/>
          <w:spacing w:val="-2"/>
          <w:sz w:val="24"/>
          <w:szCs w:val="24"/>
        </w:rPr>
        <w:t>adverse impacts of climate change in the Mekong River Delta</w:t>
      </w:r>
      <w:r w:rsidR="00953C0B" w:rsidRPr="00953C0B">
        <w:rPr>
          <w:rFonts w:ascii="Times New Roman" w:hAnsi="Times New Roman" w:cs="Times New Roman"/>
          <w:spacing w:val="-2"/>
          <w:sz w:val="24"/>
          <w:szCs w:val="24"/>
        </w:rPr>
        <w:t>, and</w:t>
      </w:r>
      <w:r w:rsidRPr="00953C0B">
        <w:rPr>
          <w:rFonts w:ascii="Times New Roman" w:hAnsi="Times New Roman" w:cs="Times New Roman"/>
          <w:sz w:val="24"/>
          <w:szCs w:val="24"/>
        </w:rPr>
        <w:t xml:space="preserve"> t</w:t>
      </w:r>
      <w:r w:rsidRPr="00953C0B">
        <w:rPr>
          <w:rFonts w:ascii="Times New Roman" w:hAnsi="Times New Roman" w:cs="Times New Roman"/>
          <w:spacing w:val="-2"/>
          <w:sz w:val="24"/>
          <w:szCs w:val="24"/>
        </w:rPr>
        <w:t xml:space="preserve">he rising trends of abandoning paddy fields </w:t>
      </w:r>
      <w:r w:rsidRPr="00953C0B">
        <w:rPr>
          <w:rFonts w:ascii="Times New Roman" w:hAnsi="Times New Roman" w:cs="Times New Roman"/>
          <w:spacing w:val="-2"/>
          <w:sz w:val="24"/>
          <w:szCs w:val="24"/>
        </w:rPr>
        <w:t>due to smallholder agriculture and land fragmentation,</w:t>
      </w:r>
      <w:r w:rsidR="00953C0B" w:rsidRPr="00953C0B">
        <w:rPr>
          <w:rFonts w:ascii="Times New Roman" w:hAnsi="Times New Roman" w:cs="Times New Roman"/>
          <w:spacing w:val="-2"/>
          <w:sz w:val="24"/>
          <w:szCs w:val="24"/>
        </w:rPr>
        <w:t xml:space="preserve"> rice production is reducing its comparative advantage. As a result, ‘the rice first’ policy should be reconsidered. The paper finds challenges facing small rice farms and the role of crop diversification in improving the livelihoods. Therefore, Vietnam should implement a significant change in its food security policy.   </w:t>
      </w:r>
    </w:p>
    <w:p w14:paraId="7D7604BF" w14:textId="79F3B669" w:rsidR="00FC617C" w:rsidRDefault="00F873AB" w:rsidP="00FC617C">
      <w:pPr>
        <w:pStyle w:val="HTMLPreformatted"/>
        <w:spacing w:line="480" w:lineRule="auto"/>
        <w:ind w:firstLine="567"/>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Key words: food security, rice seld-sufficiency, rice first policy, smallholder agriculture, rural Vietnam</w:t>
      </w:r>
    </w:p>
    <w:p w14:paraId="33A10A26" w14:textId="77777777" w:rsidR="00FC617C" w:rsidRDefault="00FC617C" w:rsidP="00FC617C">
      <w:pPr>
        <w:pStyle w:val="HTMLPreformatted"/>
        <w:spacing w:line="480" w:lineRule="auto"/>
        <w:jc w:val="both"/>
        <w:rPr>
          <w:rFonts w:ascii="Times New Roman" w:hAnsi="Times New Roman" w:cs="Times New Roman"/>
          <w:color w:val="000000" w:themeColor="text1"/>
          <w:sz w:val="24"/>
          <w:szCs w:val="24"/>
          <w:lang w:val="vi-VN"/>
        </w:rPr>
      </w:pPr>
    </w:p>
    <w:p w14:paraId="440F29E6" w14:textId="77777777" w:rsidR="00FC617C" w:rsidRDefault="00FC617C"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C1B5170" w14:textId="77777777" w:rsidR="00FC617C" w:rsidRDefault="00FC617C" w:rsidP="00F873AB">
      <w:pPr>
        <w:pStyle w:val="HTMLPreformatted"/>
        <w:spacing w:line="480" w:lineRule="auto"/>
        <w:jc w:val="both"/>
        <w:rPr>
          <w:rFonts w:ascii="Times New Roman" w:hAnsi="Times New Roman" w:cs="Times New Roman"/>
          <w:color w:val="000000" w:themeColor="text1"/>
          <w:sz w:val="24"/>
          <w:szCs w:val="24"/>
          <w:lang w:val="vi-VN"/>
        </w:rPr>
      </w:pPr>
    </w:p>
    <w:p w14:paraId="4F1005A3" w14:textId="77777777" w:rsidR="00FC617C" w:rsidRDefault="00FC617C"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5A8AA678" w14:textId="77777777" w:rsidR="00FC617C" w:rsidRDefault="00FC617C" w:rsidP="00F873AB">
      <w:pPr>
        <w:pStyle w:val="HTMLPreformatted"/>
        <w:spacing w:line="480" w:lineRule="auto"/>
        <w:jc w:val="both"/>
        <w:rPr>
          <w:rFonts w:ascii="Times New Roman" w:hAnsi="Times New Roman" w:cs="Times New Roman"/>
          <w:color w:val="000000" w:themeColor="text1"/>
          <w:sz w:val="24"/>
          <w:szCs w:val="24"/>
          <w:lang w:val="vi-VN"/>
        </w:rPr>
      </w:pPr>
    </w:p>
    <w:p w14:paraId="5E59E63C" w14:textId="77777777" w:rsidR="00953C0B"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39E26AF5" w14:textId="77777777" w:rsidR="00953C0B"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3E2E06B4" w14:textId="77777777" w:rsidR="00953C0B"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06C40F18" w14:textId="77777777" w:rsidR="00953C0B"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2A83CE2F" w14:textId="77777777" w:rsidR="00953C0B"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1D8998F9" w14:textId="77777777" w:rsidR="00953C0B"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42BE4F44" w14:textId="77777777" w:rsidR="00953C0B"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19F3B022" w14:textId="77777777" w:rsidR="00953C0B" w:rsidRPr="005E5122" w:rsidRDefault="00953C0B" w:rsidP="00F873AB">
      <w:pPr>
        <w:pStyle w:val="HTMLPreformatted"/>
        <w:spacing w:line="480" w:lineRule="auto"/>
        <w:jc w:val="both"/>
        <w:rPr>
          <w:rFonts w:ascii="Times New Roman" w:hAnsi="Times New Roman" w:cs="Times New Roman"/>
          <w:color w:val="000000" w:themeColor="text1"/>
          <w:sz w:val="24"/>
          <w:szCs w:val="24"/>
          <w:lang w:val="vi-VN"/>
        </w:rPr>
      </w:pPr>
    </w:p>
    <w:p w14:paraId="21D09DFE" w14:textId="2200FC73" w:rsidR="00EC7BC2" w:rsidRPr="005E5122" w:rsidRDefault="00EC6511" w:rsidP="00FC617C">
      <w:pPr>
        <w:pStyle w:val="HTMLPreformatted"/>
        <w:spacing w:line="480" w:lineRule="auto"/>
        <w:ind w:firstLine="567"/>
        <w:jc w:val="both"/>
        <w:rPr>
          <w:rFonts w:ascii="Times New Roman" w:hAnsi="Times New Roman" w:cs="Times New Roman"/>
          <w:b/>
          <w:color w:val="000000" w:themeColor="text1"/>
          <w:sz w:val="24"/>
          <w:szCs w:val="24"/>
          <w:lang w:val="vi-VN"/>
        </w:rPr>
      </w:pPr>
      <w:r w:rsidRPr="005E5122">
        <w:rPr>
          <w:rFonts w:ascii="Times New Roman" w:hAnsi="Times New Roman" w:cs="Times New Roman"/>
          <w:b/>
          <w:color w:val="000000" w:themeColor="text1"/>
          <w:sz w:val="24"/>
          <w:szCs w:val="24"/>
          <w:lang w:val="vi-VN"/>
        </w:rPr>
        <w:lastRenderedPageBreak/>
        <w:t>1</w:t>
      </w:r>
      <w:r w:rsidR="00EC7BC2" w:rsidRPr="005E5122">
        <w:rPr>
          <w:rFonts w:ascii="Times New Roman" w:hAnsi="Times New Roman" w:cs="Times New Roman"/>
          <w:b/>
          <w:color w:val="000000" w:themeColor="text1"/>
          <w:sz w:val="24"/>
          <w:szCs w:val="24"/>
          <w:lang w:val="vi-VN"/>
        </w:rPr>
        <w:t>. Thách thức đặt ra trong chính sách “lúa gạo trước tiên”</w:t>
      </w:r>
    </w:p>
    <w:p w14:paraId="113A695C" w14:textId="15A9DE3F" w:rsidR="00FC617C" w:rsidRPr="00F873AB" w:rsidRDefault="00EC7BC2" w:rsidP="00F8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67"/>
        <w:jc w:val="both"/>
        <w:rPr>
          <w:rFonts w:ascii="Times New Roman" w:eastAsiaTheme="minorHAnsi" w:hAnsi="Times New Roman" w:cs="Times New Roman"/>
          <w:color w:val="000000" w:themeColor="text1"/>
          <w:lang w:val="vi-VN"/>
        </w:rPr>
      </w:pPr>
      <w:r w:rsidRPr="0079251C">
        <w:rPr>
          <w:rFonts w:ascii="Times New Roman" w:eastAsiaTheme="minorHAnsi" w:hAnsi="Times New Roman" w:cs="Times New Roman"/>
          <w:color w:val="000000" w:themeColor="text1"/>
          <w:lang w:val="vi-VN"/>
        </w:rPr>
        <w:t>An ninh lương thực là một trong những mục tiêu quan trọng nhất liên quan đến hoạch định chính sách ở Việt Nam. Kể từ nạ</w:t>
      </w:r>
      <w:r w:rsidR="00C67835">
        <w:rPr>
          <w:rFonts w:ascii="Times New Roman" w:eastAsiaTheme="minorHAnsi" w:hAnsi="Times New Roman" w:cs="Times New Roman"/>
          <w:color w:val="000000" w:themeColor="text1"/>
          <w:lang w:val="vi-VN"/>
        </w:rPr>
        <w:t>n đói</w:t>
      </w:r>
      <w:r w:rsidRPr="0079251C">
        <w:rPr>
          <w:rFonts w:ascii="Times New Roman" w:eastAsiaTheme="minorHAnsi" w:hAnsi="Times New Roman" w:cs="Times New Roman"/>
          <w:color w:val="000000" w:themeColor="text1"/>
          <w:lang w:val="vi-VN"/>
        </w:rPr>
        <w:t xml:space="preserve"> những năm 1970 và đầu những năm 1980, Việt Nam đã thực hiện nhiều cải cách để</w:t>
      </w:r>
      <w:r w:rsidRPr="005E5122">
        <w:rPr>
          <w:rFonts w:ascii="Times New Roman" w:eastAsiaTheme="minorHAnsi" w:hAnsi="Times New Roman" w:cs="Times New Roman"/>
          <w:color w:val="000000" w:themeColor="text1"/>
          <w:lang w:val="vi-VN"/>
        </w:rPr>
        <w:t xml:space="preserve"> duy trì</w:t>
      </w:r>
      <w:r w:rsidRPr="0079251C">
        <w:rPr>
          <w:rFonts w:ascii="Times New Roman" w:eastAsiaTheme="minorHAnsi" w:hAnsi="Times New Roman" w:cs="Times New Roman"/>
          <w:color w:val="000000" w:themeColor="text1"/>
          <w:lang w:val="vi-VN"/>
        </w:rPr>
        <w:t xml:space="preserve"> tự</w:t>
      </w:r>
      <w:r w:rsidR="00442D4E">
        <w:rPr>
          <w:rFonts w:ascii="Times New Roman" w:eastAsiaTheme="minorHAnsi" w:hAnsi="Times New Roman" w:cs="Times New Roman"/>
          <w:color w:val="000000" w:themeColor="text1"/>
          <w:lang w:val="vi-VN"/>
        </w:rPr>
        <w:t xml:space="preserve"> chủ về</w:t>
      </w:r>
      <w:r w:rsidRPr="0079251C">
        <w:rPr>
          <w:rFonts w:ascii="Times New Roman" w:eastAsiaTheme="minorHAnsi" w:hAnsi="Times New Roman" w:cs="Times New Roman"/>
          <w:color w:val="000000" w:themeColor="text1"/>
          <w:lang w:val="vi-VN"/>
        </w:rPr>
        <w:t xml:space="preserve"> gạ</w:t>
      </w:r>
      <w:r w:rsidR="00EC6511" w:rsidRPr="005E5122">
        <w:rPr>
          <w:rFonts w:ascii="Times New Roman" w:eastAsiaTheme="minorHAnsi" w:hAnsi="Times New Roman" w:cs="Times New Roman"/>
          <w:color w:val="000000" w:themeColor="text1"/>
          <w:lang w:val="vi-VN"/>
        </w:rPr>
        <w:t>o</w:t>
      </w:r>
      <w:r w:rsidRPr="0079251C">
        <w:rPr>
          <w:rFonts w:ascii="Times New Roman" w:eastAsiaTheme="minorHAnsi" w:hAnsi="Times New Roman" w:cs="Times New Roman"/>
          <w:color w:val="000000" w:themeColor="text1"/>
          <w:lang w:val="vi-VN"/>
        </w:rPr>
        <w:t xml:space="preserve"> thông qua việc kiể</w:t>
      </w:r>
      <w:r w:rsidR="00EC6511" w:rsidRPr="005E5122">
        <w:rPr>
          <w:rFonts w:ascii="Times New Roman" w:eastAsiaTheme="minorHAnsi" w:hAnsi="Times New Roman" w:cs="Times New Roman"/>
          <w:color w:val="000000" w:themeColor="text1"/>
          <w:lang w:val="vi-VN"/>
        </w:rPr>
        <w:t>m soát chặt chẽ</w:t>
      </w:r>
      <w:r w:rsidRPr="0079251C">
        <w:rPr>
          <w:rFonts w:ascii="Times New Roman" w:eastAsiaTheme="minorHAnsi" w:hAnsi="Times New Roman" w:cs="Times New Roman"/>
          <w:color w:val="000000" w:themeColor="text1"/>
          <w:lang w:val="vi-VN"/>
        </w:rPr>
        <w:t xml:space="preserve"> đất </w:t>
      </w:r>
      <w:r w:rsidR="00EC6511" w:rsidRPr="005E5122">
        <w:rPr>
          <w:rFonts w:ascii="Times New Roman" w:eastAsiaTheme="minorHAnsi" w:hAnsi="Times New Roman" w:cs="Times New Roman"/>
          <w:color w:val="000000" w:themeColor="text1"/>
          <w:lang w:val="vi-VN"/>
        </w:rPr>
        <w:t xml:space="preserve">trồng </w:t>
      </w:r>
      <w:r w:rsidRPr="0079251C">
        <w:rPr>
          <w:rFonts w:ascii="Times New Roman" w:eastAsiaTheme="minorHAnsi" w:hAnsi="Times New Roman" w:cs="Times New Roman"/>
          <w:color w:val="000000" w:themeColor="text1"/>
          <w:lang w:val="vi-VN"/>
        </w:rPr>
        <w:t>lúa và áp dụ</w:t>
      </w:r>
      <w:r w:rsidRPr="005E5122">
        <w:rPr>
          <w:rFonts w:ascii="Times New Roman" w:eastAsiaTheme="minorHAnsi" w:hAnsi="Times New Roman" w:cs="Times New Roman"/>
          <w:color w:val="000000" w:themeColor="text1"/>
          <w:lang w:val="vi-VN"/>
        </w:rPr>
        <w:t>ng chính sách "</w:t>
      </w:r>
      <w:r w:rsidR="00E76414" w:rsidRPr="005E5122">
        <w:rPr>
          <w:rFonts w:ascii="Times New Roman" w:eastAsiaTheme="minorHAnsi" w:hAnsi="Times New Roman" w:cs="Times New Roman"/>
          <w:color w:val="000000" w:themeColor="text1"/>
          <w:lang w:val="vi-VN"/>
        </w:rPr>
        <w:t xml:space="preserve">lúa </w:t>
      </w:r>
      <w:r w:rsidRPr="005E5122">
        <w:rPr>
          <w:rFonts w:ascii="Times New Roman" w:eastAsiaTheme="minorHAnsi" w:hAnsi="Times New Roman" w:cs="Times New Roman"/>
          <w:color w:val="000000" w:themeColor="text1"/>
          <w:lang w:val="vi-VN"/>
        </w:rPr>
        <w:t>gạo trước tiên</w:t>
      </w:r>
      <w:r w:rsidRPr="0079251C">
        <w:rPr>
          <w:rFonts w:ascii="Times New Roman" w:eastAsiaTheme="minorHAnsi" w:hAnsi="Times New Roman" w:cs="Times New Roman"/>
          <w:color w:val="000000" w:themeColor="text1"/>
          <w:lang w:val="vi-VN"/>
        </w:rPr>
        <w:t>". An ninh lương thực có liên quan trực tiếp đến chính sách đất đai. Ở Việt Nam, an ninh lương thực luôn có nghĩa là tự</w:t>
      </w:r>
      <w:r w:rsidR="00442D4E">
        <w:rPr>
          <w:rFonts w:ascii="Times New Roman" w:eastAsiaTheme="minorHAnsi" w:hAnsi="Times New Roman" w:cs="Times New Roman"/>
          <w:color w:val="000000" w:themeColor="text1"/>
          <w:lang w:val="vi-VN"/>
        </w:rPr>
        <w:t xml:space="preserve"> chủ về</w:t>
      </w:r>
      <w:r w:rsidRPr="0079251C">
        <w:rPr>
          <w:rFonts w:ascii="Times New Roman" w:eastAsiaTheme="minorHAnsi" w:hAnsi="Times New Roman" w:cs="Times New Roman"/>
          <w:color w:val="000000" w:themeColor="text1"/>
          <w:lang w:val="vi-VN"/>
        </w:rPr>
        <w:t xml:space="preserve"> gạo</w:t>
      </w:r>
      <w:r w:rsidRPr="005E5122">
        <w:rPr>
          <w:rStyle w:val="FootnoteReference"/>
          <w:rFonts w:ascii="Times New Roman" w:hAnsi="Times New Roman" w:cs="Times New Roman"/>
          <w:color w:val="000000" w:themeColor="text1"/>
        </w:rPr>
        <w:footnoteReference w:id="1"/>
      </w:r>
      <w:r w:rsidRPr="005E5122">
        <w:rPr>
          <w:rFonts w:ascii="Times New Roman" w:eastAsiaTheme="minorHAnsi" w:hAnsi="Times New Roman" w:cs="Times New Roman"/>
          <w:color w:val="000000" w:themeColor="text1"/>
          <w:lang w:val="vi-VN"/>
        </w:rPr>
        <w:t>,</w:t>
      </w:r>
      <w:r w:rsidRPr="0079251C">
        <w:rPr>
          <w:rFonts w:ascii="Times New Roman" w:eastAsiaTheme="minorHAnsi" w:hAnsi="Times New Roman" w:cs="Times New Roman"/>
          <w:color w:val="000000" w:themeColor="text1"/>
          <w:lang w:val="vi-VN"/>
        </w:rPr>
        <w:t xml:space="preserve"> và Chính phủ Việt Nam đã ban hành </w:t>
      </w:r>
      <w:r w:rsidRPr="005E5122">
        <w:rPr>
          <w:rFonts w:ascii="Times New Roman" w:eastAsiaTheme="minorHAnsi" w:hAnsi="Times New Roman" w:cs="Times New Roman"/>
          <w:color w:val="000000" w:themeColor="text1"/>
          <w:lang w:val="vi-VN"/>
        </w:rPr>
        <w:t xml:space="preserve">các </w:t>
      </w:r>
      <w:r w:rsidRPr="0079251C">
        <w:rPr>
          <w:rFonts w:ascii="Times New Roman" w:eastAsiaTheme="minorHAnsi" w:hAnsi="Times New Roman" w:cs="Times New Roman"/>
          <w:color w:val="000000" w:themeColor="text1"/>
          <w:lang w:val="vi-VN"/>
        </w:rPr>
        <w:t xml:space="preserve">chính sách </w:t>
      </w:r>
      <w:r w:rsidRPr="005E5122">
        <w:rPr>
          <w:rFonts w:ascii="Times New Roman" w:eastAsiaTheme="minorHAnsi" w:hAnsi="Times New Roman" w:cs="Times New Roman"/>
          <w:color w:val="000000" w:themeColor="text1"/>
          <w:lang w:val="vi-VN"/>
        </w:rPr>
        <w:t xml:space="preserve">nhằm </w:t>
      </w:r>
      <w:r w:rsidRPr="0079251C">
        <w:rPr>
          <w:rFonts w:ascii="Times New Roman" w:eastAsiaTheme="minorHAnsi" w:hAnsi="Times New Roman" w:cs="Times New Roman"/>
          <w:color w:val="000000" w:themeColor="text1"/>
          <w:lang w:val="vi-VN"/>
        </w:rPr>
        <w:t>duy trì đất trồ</w:t>
      </w:r>
      <w:r w:rsidRPr="005E5122">
        <w:rPr>
          <w:rFonts w:ascii="Times New Roman" w:eastAsiaTheme="minorHAnsi" w:hAnsi="Times New Roman" w:cs="Times New Roman"/>
          <w:color w:val="000000" w:themeColor="text1"/>
          <w:lang w:val="vi-VN"/>
        </w:rPr>
        <w:t>ng lúa để</w:t>
      </w:r>
      <w:r w:rsidRPr="0079251C">
        <w:rPr>
          <w:rFonts w:ascii="Times New Roman" w:eastAsiaTheme="minorHAnsi" w:hAnsi="Times New Roman" w:cs="Times New Roman"/>
          <w:color w:val="000000" w:themeColor="text1"/>
          <w:lang w:val="vi-VN"/>
        </w:rPr>
        <w:t xml:space="preserve"> đảm bảo an ninh lương thực quốc gia</w:t>
      </w:r>
      <w:r w:rsidRPr="005E5122">
        <w:rPr>
          <w:rStyle w:val="FootnoteReference"/>
          <w:rFonts w:ascii="Times New Roman" w:hAnsi="Times New Roman" w:cs="Times New Roman"/>
          <w:color w:val="000000" w:themeColor="text1"/>
        </w:rPr>
        <w:footnoteReference w:id="2"/>
      </w:r>
      <w:r w:rsidR="00627016">
        <w:rPr>
          <w:rFonts w:ascii="Times New Roman" w:eastAsiaTheme="minorHAnsi" w:hAnsi="Times New Roman" w:cs="Times New Roman"/>
          <w:color w:val="000000" w:themeColor="text1"/>
          <w:lang w:val="vi-VN"/>
        </w:rPr>
        <w:t>. Chính vì vậy,</w:t>
      </w:r>
      <w:r w:rsidRPr="0079251C">
        <w:rPr>
          <w:rFonts w:ascii="Times New Roman" w:eastAsiaTheme="minorHAnsi" w:hAnsi="Times New Roman" w:cs="Times New Roman"/>
          <w:color w:val="000000" w:themeColor="text1"/>
          <w:lang w:val="vi-VN"/>
        </w:rPr>
        <w:t xml:space="preserve"> chính sách an ninh lương thực của Việt Nam cũng trực tiếp liên quan đến chính sách "</w:t>
      </w:r>
      <w:r w:rsidRPr="005E5122">
        <w:rPr>
          <w:rFonts w:ascii="Times New Roman" w:eastAsiaTheme="minorHAnsi" w:hAnsi="Times New Roman" w:cs="Times New Roman"/>
          <w:color w:val="000000" w:themeColor="text1"/>
          <w:lang w:val="vi-VN"/>
        </w:rPr>
        <w:t xml:space="preserve">lúa </w:t>
      </w:r>
      <w:r w:rsidRPr="0079251C">
        <w:rPr>
          <w:rFonts w:ascii="Times New Roman" w:eastAsiaTheme="minorHAnsi" w:hAnsi="Times New Roman" w:cs="Times New Roman"/>
          <w:color w:val="000000" w:themeColor="text1"/>
          <w:lang w:val="vi-VN"/>
        </w:rPr>
        <w:t>gạ</w:t>
      </w:r>
      <w:r w:rsidRPr="005E5122">
        <w:rPr>
          <w:rFonts w:ascii="Times New Roman" w:eastAsiaTheme="minorHAnsi" w:hAnsi="Times New Roman" w:cs="Times New Roman"/>
          <w:color w:val="000000" w:themeColor="text1"/>
          <w:lang w:val="vi-VN"/>
        </w:rPr>
        <w:t>o trước tiên</w:t>
      </w:r>
      <w:r w:rsidRPr="0079251C">
        <w:rPr>
          <w:rFonts w:ascii="Times New Roman" w:eastAsiaTheme="minorHAnsi" w:hAnsi="Times New Roman" w:cs="Times New Roman"/>
          <w:color w:val="000000" w:themeColor="text1"/>
          <w:lang w:val="vi-VN"/>
        </w:rPr>
        <w:t>".</w:t>
      </w:r>
    </w:p>
    <w:p w14:paraId="0DB8F03A" w14:textId="7DF4C82B" w:rsidR="00EC7BC2" w:rsidRDefault="00EC6511"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E5122">
        <w:rPr>
          <w:rFonts w:ascii="Times New Roman" w:hAnsi="Times New Roman" w:cs="Times New Roman"/>
          <w:color w:val="000000" w:themeColor="text1"/>
          <w:sz w:val="24"/>
          <w:szCs w:val="24"/>
          <w:lang w:val="vi-VN"/>
        </w:rPr>
        <w:t>Cây lúa</w:t>
      </w:r>
      <w:r w:rsidR="00EC7BC2" w:rsidRPr="005E5122">
        <w:rPr>
          <w:rFonts w:ascii="Times New Roman" w:hAnsi="Times New Roman" w:cs="Times New Roman"/>
          <w:color w:val="000000" w:themeColor="text1"/>
          <w:sz w:val="24"/>
          <w:szCs w:val="24"/>
          <w:lang w:val="vi-VN"/>
        </w:rPr>
        <w:t xml:space="preserve"> là cây trồng quan trọng nhất trong sản xuất nông nghiệp của Việt Nam. Phần lớn sản xuất đến từ nhữ</w:t>
      </w:r>
      <w:r w:rsidR="00DF6896">
        <w:rPr>
          <w:rFonts w:ascii="Times New Roman" w:hAnsi="Times New Roman" w:cs="Times New Roman"/>
          <w:color w:val="000000" w:themeColor="text1"/>
          <w:sz w:val="24"/>
          <w:szCs w:val="24"/>
          <w:lang w:val="vi-VN"/>
        </w:rPr>
        <w:t>ng hộ gia đình</w:t>
      </w:r>
      <w:r w:rsidR="00EC7BC2" w:rsidRPr="005E5122">
        <w:rPr>
          <w:rFonts w:ascii="Times New Roman" w:hAnsi="Times New Roman" w:cs="Times New Roman"/>
          <w:color w:val="000000" w:themeColor="text1"/>
          <w:sz w:val="24"/>
          <w:szCs w:val="24"/>
          <w:lang w:val="vi-VN"/>
        </w:rPr>
        <w:t xml:space="preserve"> quy mô nhỏ do </w:t>
      </w:r>
      <w:r w:rsidR="00DC4568" w:rsidRPr="005E5122">
        <w:rPr>
          <w:rFonts w:ascii="Times New Roman" w:hAnsi="Times New Roman" w:cs="Times New Roman"/>
          <w:color w:val="000000" w:themeColor="text1"/>
          <w:sz w:val="24"/>
          <w:szCs w:val="24"/>
          <w:lang w:val="vi-VN"/>
        </w:rPr>
        <w:t>các hộ gia đình trực tiếp quản lý</w:t>
      </w:r>
      <w:r w:rsidR="00EC7BC2" w:rsidRPr="005E5122">
        <w:rPr>
          <w:rFonts w:ascii="Times New Roman" w:hAnsi="Times New Roman" w:cs="Times New Roman"/>
          <w:color w:val="000000" w:themeColor="text1"/>
          <w:sz w:val="24"/>
          <w:szCs w:val="24"/>
          <w:lang w:val="vi-VN"/>
        </w:rPr>
        <w:t>. Diện tích trồng lúa năm 2011 là 4,1 triệu ha, chiếm 43,77% tổng diện tích đất nông nghiệp và 65% diện tích đấ</w:t>
      </w:r>
      <w:r w:rsidR="00DF6896">
        <w:rPr>
          <w:rFonts w:ascii="Times New Roman" w:hAnsi="Times New Roman" w:cs="Times New Roman"/>
          <w:color w:val="000000" w:themeColor="text1"/>
          <w:sz w:val="24"/>
          <w:szCs w:val="24"/>
          <w:lang w:val="vi-VN"/>
        </w:rPr>
        <w:t>t canh tác hàng năm (Tổng cục thống kê,</w:t>
      </w:r>
      <w:r w:rsidR="00EC7BC2" w:rsidRPr="005E5122">
        <w:rPr>
          <w:rFonts w:ascii="Times New Roman" w:hAnsi="Times New Roman" w:cs="Times New Roman"/>
          <w:color w:val="000000" w:themeColor="text1"/>
          <w:sz w:val="24"/>
          <w:szCs w:val="24"/>
          <w:lang w:val="vi-VN"/>
        </w:rPr>
        <w:t xml:space="preserve"> 2012)</w:t>
      </w:r>
      <w:bookmarkStart w:id="0" w:name="_GoBack"/>
      <w:bookmarkEnd w:id="0"/>
      <w:r w:rsidR="001D65D9">
        <w:rPr>
          <w:rFonts w:ascii="Times New Roman" w:hAnsi="Times New Roman" w:cs="Times New Roman"/>
          <w:color w:val="000000" w:themeColor="text1"/>
          <w:sz w:val="24"/>
          <w:szCs w:val="24"/>
          <w:lang w:val="vi-VN"/>
        </w:rPr>
        <w:t xml:space="preserve"> [1</w:t>
      </w:r>
      <w:r w:rsidR="00571E56">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và số hộ trồng lúa </w:t>
      </w:r>
      <w:r w:rsidR="00DC4568" w:rsidRPr="005E5122">
        <w:rPr>
          <w:rFonts w:ascii="Times New Roman" w:hAnsi="Times New Roman" w:cs="Times New Roman"/>
          <w:color w:val="000000" w:themeColor="text1"/>
          <w:sz w:val="24"/>
          <w:szCs w:val="24"/>
          <w:lang w:val="vi-VN"/>
        </w:rPr>
        <w:t xml:space="preserve">đạt </w:t>
      </w:r>
      <w:r w:rsidR="00EC7BC2" w:rsidRPr="005E5122">
        <w:rPr>
          <w:rFonts w:ascii="Times New Roman" w:hAnsi="Times New Roman" w:cs="Times New Roman"/>
          <w:color w:val="000000" w:themeColor="text1"/>
          <w:sz w:val="24"/>
          <w:szCs w:val="24"/>
          <w:lang w:val="vi-VN"/>
        </w:rPr>
        <w:t>gần 9,3 triệ</w:t>
      </w:r>
      <w:r w:rsidR="00DC4568" w:rsidRPr="005E5122">
        <w:rPr>
          <w:rFonts w:ascii="Times New Roman" w:hAnsi="Times New Roman" w:cs="Times New Roman"/>
          <w:color w:val="000000" w:themeColor="text1"/>
          <w:sz w:val="24"/>
          <w:szCs w:val="24"/>
          <w:lang w:val="vi-VN"/>
        </w:rPr>
        <w:t>u hộ</w:t>
      </w:r>
      <w:r w:rsidR="00EC7BC2" w:rsidRPr="005E5122">
        <w:rPr>
          <w:rFonts w:ascii="Times New Roman" w:hAnsi="Times New Roman" w:cs="Times New Roman"/>
          <w:color w:val="000000" w:themeColor="text1"/>
          <w:sz w:val="24"/>
          <w:szCs w:val="24"/>
          <w:lang w:val="vi-VN"/>
        </w:rPr>
        <w:t>, chiếm 77,6% tổng số hộ sử dụng đất sản xuất nông nghiệp và 86,7% tổng số hộ trồng cây hàng năm. Diện tích ruộng lúa trung bình chỉ vào khoả</w:t>
      </w:r>
      <w:r w:rsidR="005D7AD7" w:rsidRPr="005E5122">
        <w:rPr>
          <w:rFonts w:ascii="Times New Roman" w:hAnsi="Times New Roman" w:cs="Times New Roman"/>
          <w:color w:val="000000" w:themeColor="text1"/>
          <w:sz w:val="24"/>
          <w:szCs w:val="24"/>
          <w:lang w:val="vi-VN"/>
        </w:rPr>
        <w:t>ng 0,44 ha/</w:t>
      </w:r>
      <w:r w:rsidR="00EC7BC2" w:rsidRPr="005E5122">
        <w:rPr>
          <w:rFonts w:ascii="Times New Roman" w:hAnsi="Times New Roman" w:cs="Times New Roman"/>
          <w:color w:val="000000" w:themeColor="text1"/>
          <w:sz w:val="24"/>
          <w:szCs w:val="24"/>
          <w:lang w:val="vi-VN"/>
        </w:rPr>
        <w:t>hộ</w:t>
      </w:r>
      <w:r w:rsidR="001D65D9">
        <w:rPr>
          <w:rFonts w:ascii="Times New Roman" w:hAnsi="Times New Roman" w:cs="Times New Roman"/>
          <w:color w:val="000000" w:themeColor="text1"/>
          <w:sz w:val="24"/>
          <w:szCs w:val="24"/>
          <w:lang w:val="vi-VN"/>
        </w:rPr>
        <w:t xml:space="preserve"> [1</w:t>
      </w:r>
      <w:r w:rsidR="00571E56">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Sản lượng gạo của các hộ nông dân chiếm 75% tổng diện tích cây trồng hàng năm về số lượn</w:t>
      </w:r>
      <w:r w:rsidR="00DC4568" w:rsidRPr="005E5122">
        <w:rPr>
          <w:rFonts w:ascii="Times New Roman" w:hAnsi="Times New Roman" w:cs="Times New Roman"/>
          <w:color w:val="000000" w:themeColor="text1"/>
          <w:sz w:val="24"/>
          <w:szCs w:val="24"/>
          <w:lang w:val="vi-VN"/>
        </w:rPr>
        <w:t>g và trên 78%</w:t>
      </w:r>
      <w:r w:rsidR="00EC7BC2" w:rsidRPr="005E5122">
        <w:rPr>
          <w:rFonts w:ascii="Times New Roman" w:hAnsi="Times New Roman" w:cs="Times New Roman"/>
          <w:color w:val="000000" w:themeColor="text1"/>
          <w:sz w:val="24"/>
          <w:szCs w:val="24"/>
          <w:lang w:val="vi-VN"/>
        </w:rPr>
        <w:t xml:space="preserve"> về giá trị</w:t>
      </w:r>
      <w:r w:rsidR="005C0E32">
        <w:rPr>
          <w:rFonts w:ascii="Times New Roman" w:hAnsi="Times New Roman" w:cs="Times New Roman"/>
          <w:color w:val="000000" w:themeColor="text1"/>
          <w:sz w:val="24"/>
          <w:szCs w:val="24"/>
          <w:lang w:val="vi-VN"/>
        </w:rPr>
        <w:t xml:space="preserve"> </w:t>
      </w:r>
      <w:r w:rsidR="001D65D9">
        <w:rPr>
          <w:rFonts w:ascii="Times New Roman" w:hAnsi="Times New Roman" w:cs="Times New Roman"/>
          <w:color w:val="000000" w:themeColor="text1"/>
          <w:sz w:val="24"/>
          <w:szCs w:val="24"/>
          <w:lang w:val="vi-VN"/>
        </w:rPr>
        <w:t>[2</w:t>
      </w:r>
      <w:r w:rsidR="00571E56">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w:t>
      </w:r>
    </w:p>
    <w:p w14:paraId="64D8E3E7" w14:textId="77777777" w:rsidR="00F873AB" w:rsidRDefault="00F873A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6FABF5DF" w14:textId="77777777" w:rsidR="00F873AB" w:rsidRDefault="00F873A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BF788E2" w14:textId="77777777" w:rsidR="00F873AB" w:rsidRPr="005E5122" w:rsidRDefault="00F873A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8D3C6E3" w14:textId="41266AD1" w:rsidR="00C012F1" w:rsidRPr="00280D77" w:rsidRDefault="005D7AD7" w:rsidP="00FC617C">
      <w:pPr>
        <w:spacing w:line="480" w:lineRule="auto"/>
        <w:ind w:firstLine="567"/>
        <w:jc w:val="center"/>
        <w:outlineLvl w:val="0"/>
        <w:rPr>
          <w:rFonts w:ascii="Times New Roman" w:hAnsi="Times New Roman" w:cs="Times New Roman"/>
          <w:b/>
          <w:color w:val="000000" w:themeColor="text1"/>
        </w:rPr>
      </w:pPr>
      <w:r w:rsidRPr="00C012F1">
        <w:rPr>
          <w:rFonts w:ascii="Times New Roman" w:hAnsi="Times New Roman" w:cs="Times New Roman"/>
          <w:b/>
          <w:color w:val="000000" w:themeColor="text1"/>
        </w:rPr>
        <w:lastRenderedPageBreak/>
        <w:t>Hình 1.</w:t>
      </w:r>
      <w:r w:rsidR="00EC7BC2" w:rsidRPr="00C012F1">
        <w:rPr>
          <w:rFonts w:ascii="Times New Roman" w:hAnsi="Times New Roman" w:cs="Times New Roman"/>
          <w:b/>
          <w:color w:val="000000" w:themeColor="text1"/>
        </w:rPr>
        <w:t xml:space="preserve"> </w:t>
      </w:r>
      <w:r w:rsidRPr="00C012F1">
        <w:rPr>
          <w:rFonts w:ascii="Times New Roman" w:hAnsi="Times New Roman" w:cs="Times New Roman"/>
          <w:b/>
          <w:color w:val="000000" w:themeColor="text1"/>
        </w:rPr>
        <w:t>Tỷ lệ tăng trưởng của sản lượng gạo</w:t>
      </w:r>
      <w:r w:rsidR="00EC7BC2" w:rsidRPr="00C012F1">
        <w:rPr>
          <w:rFonts w:ascii="Times New Roman" w:hAnsi="Times New Roman" w:cs="Times New Roman"/>
          <w:b/>
          <w:color w:val="000000" w:themeColor="text1"/>
        </w:rPr>
        <w:t>, 1986-2014</w:t>
      </w:r>
      <w:r w:rsidRPr="00C012F1">
        <w:rPr>
          <w:rFonts w:ascii="Times New Roman" w:hAnsi="Times New Roman" w:cs="Times New Roman"/>
          <w:b/>
          <w:color w:val="000000" w:themeColor="text1"/>
        </w:rPr>
        <w:t xml:space="preserve"> (%</w:t>
      </w:r>
      <w:r w:rsidR="00EC7BC2" w:rsidRPr="00C012F1">
        <w:rPr>
          <w:rFonts w:ascii="Times New Roman" w:hAnsi="Times New Roman" w:cs="Times New Roman"/>
          <w:b/>
          <w:color w:val="000000" w:themeColor="text1"/>
        </w:rPr>
        <w:t>)</w:t>
      </w:r>
    </w:p>
    <w:p w14:paraId="7C0CE895" w14:textId="77777777" w:rsidR="00EC7BC2" w:rsidRPr="005E5122" w:rsidRDefault="00EC7BC2" w:rsidP="00FC617C">
      <w:pPr>
        <w:spacing w:line="480" w:lineRule="auto"/>
        <w:ind w:firstLine="567"/>
        <w:jc w:val="center"/>
        <w:rPr>
          <w:rFonts w:ascii="Times New Roman" w:hAnsi="Times New Roman" w:cs="Times New Roman"/>
          <w:color w:val="000000" w:themeColor="text1"/>
        </w:rPr>
      </w:pPr>
      <w:r w:rsidRPr="005E5122">
        <w:rPr>
          <w:rFonts w:ascii="Times New Roman" w:hAnsi="Times New Roman" w:cs="Times New Roman"/>
          <w:noProof/>
          <w:color w:val="000000" w:themeColor="text1"/>
          <w:lang w:val="en-US"/>
        </w:rPr>
        <w:drawing>
          <wp:inline distT="0" distB="0" distL="0" distR="0" wp14:anchorId="60C3AA02" wp14:editId="4D5DFF32">
            <wp:extent cx="5372947" cy="2667000"/>
            <wp:effectExtent l="0" t="0" r="3746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6439B23" w14:textId="11A46457" w:rsidR="00EC7BC2" w:rsidRPr="00015FBB" w:rsidRDefault="005D7AD7" w:rsidP="00FC617C">
      <w:pPr>
        <w:spacing w:line="480" w:lineRule="auto"/>
        <w:ind w:firstLine="567"/>
        <w:jc w:val="both"/>
        <w:rPr>
          <w:rFonts w:ascii="Times New Roman" w:hAnsi="Times New Roman" w:cs="Times New Roman"/>
          <w:color w:val="000000" w:themeColor="text1"/>
          <w:sz w:val="20"/>
          <w:szCs w:val="20"/>
        </w:rPr>
      </w:pPr>
      <w:r w:rsidRPr="00015FBB">
        <w:rPr>
          <w:rFonts w:ascii="Times New Roman" w:hAnsi="Times New Roman" w:cs="Times New Roman"/>
          <w:color w:val="000000" w:themeColor="text1"/>
          <w:sz w:val="20"/>
          <w:szCs w:val="20"/>
        </w:rPr>
        <w:t>Nguồn</w:t>
      </w:r>
      <w:r w:rsidR="00EC7BC2" w:rsidRPr="00015FBB">
        <w:rPr>
          <w:rFonts w:ascii="Times New Roman" w:hAnsi="Times New Roman" w:cs="Times New Roman"/>
          <w:color w:val="000000" w:themeColor="text1"/>
          <w:sz w:val="20"/>
          <w:szCs w:val="20"/>
        </w:rPr>
        <w:t xml:space="preserve">: </w:t>
      </w:r>
      <w:r w:rsidRPr="00015FBB">
        <w:rPr>
          <w:rFonts w:ascii="Times New Roman" w:hAnsi="Times New Roman" w:cs="Times New Roman"/>
          <w:color w:val="000000" w:themeColor="text1"/>
          <w:sz w:val="20"/>
          <w:szCs w:val="20"/>
        </w:rPr>
        <w:t xml:space="preserve">Tính toán từ Tổng cục thống kê </w:t>
      </w:r>
      <w:r w:rsidR="00EC7BC2" w:rsidRPr="00015FBB">
        <w:rPr>
          <w:rFonts w:ascii="Times New Roman" w:hAnsi="Times New Roman" w:cs="Times New Roman"/>
          <w:color w:val="000000" w:themeColor="text1"/>
          <w:sz w:val="20"/>
          <w:szCs w:val="20"/>
        </w:rPr>
        <w:t>(2002, 2006, 2008, 2014)</w:t>
      </w:r>
      <w:r w:rsidRPr="00015FBB">
        <w:rPr>
          <w:rFonts w:ascii="Times New Roman" w:hAnsi="Times New Roman" w:cs="Times New Roman"/>
          <w:color w:val="000000" w:themeColor="text1"/>
          <w:sz w:val="20"/>
          <w:szCs w:val="20"/>
        </w:rPr>
        <w:t>.</w:t>
      </w:r>
    </w:p>
    <w:p w14:paraId="3AA33CB2" w14:textId="78D135B8" w:rsidR="00EC7BC2" w:rsidRPr="005E5122" w:rsidRDefault="00DC4568" w:rsidP="00FC617C">
      <w:pPr>
        <w:pStyle w:val="HTMLPreformatted"/>
        <w:spacing w:line="480" w:lineRule="auto"/>
        <w:ind w:firstLine="567"/>
        <w:jc w:val="both"/>
        <w:rPr>
          <w:rFonts w:ascii="Times New Roman" w:hAnsi="Times New Roman" w:cs="Times New Roman"/>
          <w:color w:val="000000" w:themeColor="text1"/>
          <w:sz w:val="24"/>
          <w:szCs w:val="24"/>
        </w:rPr>
      </w:pPr>
      <w:r w:rsidRPr="005E5122">
        <w:rPr>
          <w:rFonts w:ascii="Times New Roman" w:hAnsi="Times New Roman" w:cs="Times New Roman"/>
          <w:color w:val="000000" w:themeColor="text1"/>
          <w:sz w:val="24"/>
          <w:szCs w:val="24"/>
          <w:lang w:val="vi-VN"/>
        </w:rPr>
        <w:t>S</w:t>
      </w:r>
      <w:r w:rsidR="00EC7BC2" w:rsidRPr="005E5122">
        <w:rPr>
          <w:rFonts w:ascii="Times New Roman" w:hAnsi="Times New Roman" w:cs="Times New Roman"/>
          <w:color w:val="000000" w:themeColor="text1"/>
          <w:sz w:val="24"/>
          <w:szCs w:val="24"/>
          <w:lang w:val="vi-VN"/>
        </w:rPr>
        <w:t>ự gia tăng sản lượng gạ</w:t>
      </w:r>
      <w:r w:rsidR="0039718F" w:rsidRPr="005E5122">
        <w:rPr>
          <w:rFonts w:ascii="Times New Roman" w:hAnsi="Times New Roman" w:cs="Times New Roman"/>
          <w:color w:val="000000" w:themeColor="text1"/>
          <w:sz w:val="24"/>
          <w:szCs w:val="24"/>
          <w:lang w:val="vi-VN"/>
        </w:rPr>
        <w:t xml:space="preserve">o tập trung lớn vào giai đoạn </w:t>
      </w:r>
      <w:r w:rsidR="00EC7BC2" w:rsidRPr="005E5122">
        <w:rPr>
          <w:rFonts w:ascii="Times New Roman" w:hAnsi="Times New Roman" w:cs="Times New Roman"/>
          <w:color w:val="000000" w:themeColor="text1"/>
          <w:sz w:val="24"/>
          <w:szCs w:val="24"/>
          <w:lang w:val="vi-VN"/>
        </w:rPr>
        <w:t>từ đợt cải cách ruộng</w:t>
      </w:r>
      <w:r w:rsidR="006F5BD5">
        <w:rPr>
          <w:rFonts w:ascii="Times New Roman" w:hAnsi="Times New Roman" w:cs="Times New Roman"/>
          <w:color w:val="000000" w:themeColor="text1"/>
          <w:sz w:val="24"/>
          <w:szCs w:val="24"/>
          <w:lang w:val="vi-VN"/>
        </w:rPr>
        <w:t xml:space="preserve"> đất</w:t>
      </w:r>
      <w:r w:rsidR="00EC7BC2" w:rsidRPr="005E5122">
        <w:rPr>
          <w:rFonts w:ascii="Times New Roman" w:hAnsi="Times New Roman" w:cs="Times New Roman"/>
          <w:color w:val="000000" w:themeColor="text1"/>
          <w:sz w:val="24"/>
          <w:szCs w:val="24"/>
          <w:lang w:val="vi-VN"/>
        </w:rPr>
        <w:t xml:space="preserve"> đầu tiên vào cuối những năm 1980 và đầu nhữ</w:t>
      </w:r>
      <w:r w:rsidR="005C0E32">
        <w:rPr>
          <w:rFonts w:ascii="Times New Roman" w:hAnsi="Times New Roman" w:cs="Times New Roman"/>
          <w:color w:val="000000" w:themeColor="text1"/>
          <w:sz w:val="24"/>
          <w:szCs w:val="24"/>
          <w:lang w:val="vi-VN"/>
        </w:rPr>
        <w:t>ng năm 1990</w:t>
      </w:r>
      <w:r w:rsidR="001D65D9">
        <w:rPr>
          <w:rFonts w:ascii="Times New Roman" w:hAnsi="Times New Roman" w:cs="Times New Roman"/>
          <w:color w:val="000000" w:themeColor="text1"/>
          <w:sz w:val="24"/>
          <w:szCs w:val="24"/>
          <w:lang w:val="vi-VN"/>
        </w:rPr>
        <w:t xml:space="preserve"> [3</w:t>
      </w:r>
      <w:r w:rsidR="00FF4FA6">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Tốc độ tăng trưởng sản lượng gạo cho thấy mức tăng bình </w:t>
      </w:r>
      <w:r w:rsidR="005D7AD7" w:rsidRPr="005E5122">
        <w:rPr>
          <w:rFonts w:ascii="Times New Roman" w:hAnsi="Times New Roman" w:cs="Times New Roman"/>
          <w:color w:val="000000" w:themeColor="text1"/>
          <w:sz w:val="24"/>
          <w:szCs w:val="24"/>
          <w:lang w:val="vi-VN"/>
        </w:rPr>
        <w:t>quân hàng năm là 3,64% (Hình 1</w:t>
      </w:r>
      <w:r w:rsidR="00EC7BC2" w:rsidRPr="005E5122">
        <w:rPr>
          <w:rFonts w:ascii="Times New Roman" w:hAnsi="Times New Roman" w:cs="Times New Roman"/>
          <w:color w:val="000000" w:themeColor="text1"/>
          <w:sz w:val="24"/>
          <w:szCs w:val="24"/>
          <w:lang w:val="vi-VN"/>
        </w:rPr>
        <w:t>). Sau những cải cách đấ</w:t>
      </w:r>
      <w:r w:rsidR="006F5BD5">
        <w:rPr>
          <w:rFonts w:ascii="Times New Roman" w:hAnsi="Times New Roman" w:cs="Times New Roman"/>
          <w:color w:val="000000" w:themeColor="text1"/>
          <w:sz w:val="24"/>
          <w:szCs w:val="24"/>
          <w:lang w:val="vi-VN"/>
        </w:rPr>
        <w:t>t đai</w:t>
      </w:r>
      <w:r w:rsidR="00EC7BC2" w:rsidRPr="005E5122">
        <w:rPr>
          <w:rFonts w:ascii="Times New Roman" w:hAnsi="Times New Roman" w:cs="Times New Roman"/>
          <w:color w:val="000000" w:themeColor="text1"/>
          <w:sz w:val="24"/>
          <w:szCs w:val="24"/>
          <w:lang w:val="vi-VN"/>
        </w:rPr>
        <w:t xml:space="preserve"> vào năm 1988 và năm 1993, mức tăng trưởng bình quân của sản lượng gạo là 5.23% trong giai đoạn 1986-1999. Tuy nhiên, kể từ đó</w:t>
      </w:r>
      <w:r w:rsidR="00580EC3">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tác động của đợt cải cách ruộng </w:t>
      </w:r>
      <w:r w:rsidR="00580EC3">
        <w:rPr>
          <w:rFonts w:ascii="Times New Roman" w:hAnsi="Times New Roman" w:cs="Times New Roman"/>
          <w:color w:val="000000" w:themeColor="text1"/>
          <w:sz w:val="24"/>
          <w:szCs w:val="24"/>
          <w:lang w:val="vi-VN"/>
        </w:rPr>
        <w:t xml:space="preserve">trong giai đoạn </w:t>
      </w:r>
      <w:r w:rsidR="00EC7BC2" w:rsidRPr="005E5122">
        <w:rPr>
          <w:rFonts w:ascii="Times New Roman" w:hAnsi="Times New Roman" w:cs="Times New Roman"/>
          <w:color w:val="000000" w:themeColor="text1"/>
          <w:sz w:val="24"/>
          <w:szCs w:val="24"/>
          <w:lang w:val="vi-VN"/>
        </w:rPr>
        <w:t>đầ</w:t>
      </w:r>
      <w:r w:rsidR="00580EC3">
        <w:rPr>
          <w:rFonts w:ascii="Times New Roman" w:hAnsi="Times New Roman" w:cs="Times New Roman"/>
          <w:color w:val="000000" w:themeColor="text1"/>
          <w:sz w:val="24"/>
          <w:szCs w:val="24"/>
          <w:lang w:val="vi-VN"/>
        </w:rPr>
        <w:t>u</w:t>
      </w:r>
      <w:r w:rsidR="00EC7BC2" w:rsidRPr="005E5122">
        <w:rPr>
          <w:rFonts w:ascii="Times New Roman" w:hAnsi="Times New Roman" w:cs="Times New Roman"/>
          <w:color w:val="000000" w:themeColor="text1"/>
          <w:sz w:val="24"/>
          <w:szCs w:val="24"/>
          <w:lang w:val="vi-VN"/>
        </w:rPr>
        <w:t xml:space="preserve"> đã giảm dần với tốc độ tăng trưở</w:t>
      </w:r>
      <w:r w:rsidR="00580EC3">
        <w:rPr>
          <w:rFonts w:ascii="Times New Roman" w:hAnsi="Times New Roman" w:cs="Times New Roman"/>
          <w:color w:val="000000" w:themeColor="text1"/>
          <w:sz w:val="24"/>
          <w:szCs w:val="24"/>
          <w:lang w:val="vi-VN"/>
        </w:rPr>
        <w:t xml:space="preserve">ng trung bình </w:t>
      </w:r>
      <w:r w:rsidR="00EC7BC2" w:rsidRPr="005E5122">
        <w:rPr>
          <w:rFonts w:ascii="Times New Roman" w:hAnsi="Times New Roman" w:cs="Times New Roman"/>
          <w:color w:val="000000" w:themeColor="text1"/>
          <w:sz w:val="24"/>
          <w:szCs w:val="24"/>
          <w:lang w:val="vi-VN"/>
        </w:rPr>
        <w:t xml:space="preserve">giai đoạn 2000-2014 là 2,25%. Cần lưu ý rằng đối với cả nước nói chung, </w:t>
      </w:r>
      <w:r w:rsidR="00580EC3">
        <w:rPr>
          <w:rFonts w:ascii="Times New Roman" w:hAnsi="Times New Roman" w:cs="Times New Roman"/>
          <w:color w:val="000000" w:themeColor="text1"/>
          <w:sz w:val="24"/>
          <w:szCs w:val="24"/>
          <w:lang w:val="vi-VN"/>
        </w:rPr>
        <w:t>tốc độ tăng trưởng bình quân của sản lượng gạo sụt giảm trong cả giai đoạn 1986-2014.</w:t>
      </w:r>
    </w:p>
    <w:p w14:paraId="273217E9" w14:textId="75DA9C80" w:rsidR="00EC7BC2" w:rsidRDefault="00EC7BC2"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E5122">
        <w:rPr>
          <w:rFonts w:ascii="Times New Roman" w:hAnsi="Times New Roman" w:cs="Times New Roman"/>
          <w:color w:val="000000" w:themeColor="text1"/>
          <w:sz w:val="24"/>
          <w:szCs w:val="24"/>
          <w:lang w:val="vi-VN"/>
        </w:rPr>
        <w:t>Những thành tựu đáng kể trong sản xuất lúa gạo đã đảm bảo an ninh lương thực quố</w:t>
      </w:r>
      <w:r w:rsidR="0039718F" w:rsidRPr="005E5122">
        <w:rPr>
          <w:rFonts w:ascii="Times New Roman" w:hAnsi="Times New Roman" w:cs="Times New Roman"/>
          <w:color w:val="000000" w:themeColor="text1"/>
          <w:sz w:val="24"/>
          <w:szCs w:val="24"/>
          <w:lang w:val="vi-VN"/>
        </w:rPr>
        <w:t xml:space="preserve">c gia. </w:t>
      </w:r>
      <w:r w:rsidRPr="005E5122">
        <w:rPr>
          <w:rFonts w:ascii="Times New Roman" w:hAnsi="Times New Roman" w:cs="Times New Roman"/>
          <w:color w:val="000000" w:themeColor="text1"/>
          <w:sz w:val="24"/>
          <w:szCs w:val="24"/>
          <w:lang w:val="vi-VN"/>
        </w:rPr>
        <w:t>Việt Nam đã duy trì thặng dư gạo xuất khẩu từ năm 1988, trung bình khoả</w:t>
      </w:r>
      <w:r w:rsidR="0039718F" w:rsidRPr="005E5122">
        <w:rPr>
          <w:rFonts w:ascii="Times New Roman" w:hAnsi="Times New Roman" w:cs="Times New Roman"/>
          <w:color w:val="000000" w:themeColor="text1"/>
          <w:sz w:val="24"/>
          <w:szCs w:val="24"/>
          <w:lang w:val="vi-VN"/>
        </w:rPr>
        <w:t>ng 10%</w:t>
      </w:r>
      <w:r w:rsidRPr="005E5122">
        <w:rPr>
          <w:rFonts w:ascii="Times New Roman" w:hAnsi="Times New Roman" w:cs="Times New Roman"/>
          <w:color w:val="000000" w:themeColor="text1"/>
          <w:sz w:val="24"/>
          <w:szCs w:val="24"/>
          <w:lang w:val="vi-VN"/>
        </w:rPr>
        <w:t xml:space="preserve"> tổng sản lượng mỗ</w:t>
      </w:r>
      <w:r w:rsidR="0039718F" w:rsidRPr="005E5122">
        <w:rPr>
          <w:rFonts w:ascii="Times New Roman" w:hAnsi="Times New Roman" w:cs="Times New Roman"/>
          <w:color w:val="000000" w:themeColor="text1"/>
          <w:sz w:val="24"/>
          <w:szCs w:val="24"/>
          <w:lang w:val="vi-VN"/>
        </w:rPr>
        <w:t>i năm. Năm 2015</w:t>
      </w:r>
      <w:r w:rsidRPr="005E5122">
        <w:rPr>
          <w:rFonts w:ascii="Times New Roman" w:hAnsi="Times New Roman" w:cs="Times New Roman"/>
          <w:color w:val="000000" w:themeColor="text1"/>
          <w:sz w:val="24"/>
          <w:szCs w:val="24"/>
          <w:lang w:val="vi-VN"/>
        </w:rPr>
        <w:t>, Việt Nam xuất khẩ</w:t>
      </w:r>
      <w:r w:rsidR="00E61DF9">
        <w:rPr>
          <w:rFonts w:ascii="Times New Roman" w:hAnsi="Times New Roman" w:cs="Times New Roman"/>
          <w:color w:val="000000" w:themeColor="text1"/>
          <w:sz w:val="24"/>
          <w:szCs w:val="24"/>
          <w:lang w:val="vi-VN"/>
        </w:rPr>
        <w:t xml:space="preserve">u gần 7 </w:t>
      </w:r>
      <w:r w:rsidRPr="005E5122">
        <w:rPr>
          <w:rFonts w:ascii="Times New Roman" w:hAnsi="Times New Roman" w:cs="Times New Roman"/>
          <w:color w:val="000000" w:themeColor="text1"/>
          <w:sz w:val="24"/>
          <w:szCs w:val="24"/>
          <w:lang w:val="vi-VN"/>
        </w:rPr>
        <w:t>triệu tấn gạo, với tổ</w:t>
      </w:r>
      <w:r w:rsidR="00E61DF9">
        <w:rPr>
          <w:rFonts w:ascii="Times New Roman" w:hAnsi="Times New Roman" w:cs="Times New Roman"/>
          <w:color w:val="000000" w:themeColor="text1"/>
          <w:sz w:val="24"/>
          <w:szCs w:val="24"/>
          <w:lang w:val="vi-VN"/>
        </w:rPr>
        <w:t>ng doanh thu 3</w:t>
      </w:r>
      <w:r w:rsidRPr="005E5122">
        <w:rPr>
          <w:rFonts w:ascii="Times New Roman" w:hAnsi="Times New Roman" w:cs="Times New Roman"/>
          <w:color w:val="000000" w:themeColor="text1"/>
          <w:sz w:val="24"/>
          <w:szCs w:val="24"/>
          <w:lang w:val="vi-VN"/>
        </w:rPr>
        <w:t xml:space="preserve"> tỷ</w:t>
      </w:r>
      <w:r w:rsidR="005C0E32">
        <w:rPr>
          <w:rFonts w:ascii="Times New Roman" w:hAnsi="Times New Roman" w:cs="Times New Roman"/>
          <w:color w:val="000000" w:themeColor="text1"/>
          <w:sz w:val="24"/>
          <w:szCs w:val="24"/>
          <w:lang w:val="vi-VN"/>
        </w:rPr>
        <w:t xml:space="preserve"> USD</w:t>
      </w:r>
      <w:r w:rsidR="001D65D9">
        <w:rPr>
          <w:rFonts w:ascii="Times New Roman" w:hAnsi="Times New Roman" w:cs="Times New Roman"/>
          <w:color w:val="000000" w:themeColor="text1"/>
          <w:sz w:val="24"/>
          <w:szCs w:val="24"/>
          <w:lang w:val="vi-VN"/>
        </w:rPr>
        <w:t xml:space="preserve"> [4</w:t>
      </w:r>
      <w:r w:rsidR="00FF4FA6">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xml:space="preserve">. Mặc dù xuất khẩu gạo hàng năm rất lớn, nhưng nhiều hộ gia đình vẫn không có cơ hội tiếp cận thực phẩm, xã hội và kinh tế với thức ăn đủ, an toàn và bổ dưỡng để đáp ứng nhu cầu ăn kiêng của họ. Các hộ nghèo dễ bị tổn thương và trở nên không an toàn về </w:t>
      </w:r>
      <w:r w:rsidR="0039718F" w:rsidRPr="005E5122">
        <w:rPr>
          <w:rFonts w:ascii="Times New Roman" w:hAnsi="Times New Roman" w:cs="Times New Roman"/>
          <w:color w:val="000000" w:themeColor="text1"/>
          <w:sz w:val="24"/>
          <w:szCs w:val="24"/>
          <w:lang w:val="vi-VN"/>
        </w:rPr>
        <w:t xml:space="preserve">an ninh </w:t>
      </w:r>
      <w:r w:rsidRPr="005E5122">
        <w:rPr>
          <w:rFonts w:ascii="Times New Roman" w:hAnsi="Times New Roman" w:cs="Times New Roman"/>
          <w:color w:val="000000" w:themeColor="text1"/>
          <w:sz w:val="24"/>
          <w:szCs w:val="24"/>
          <w:lang w:val="vi-VN"/>
        </w:rPr>
        <w:t>lương thự</w:t>
      </w:r>
      <w:r w:rsidR="00E61DF9">
        <w:rPr>
          <w:rFonts w:ascii="Times New Roman" w:hAnsi="Times New Roman" w:cs="Times New Roman"/>
          <w:color w:val="000000" w:themeColor="text1"/>
          <w:sz w:val="24"/>
          <w:szCs w:val="24"/>
          <w:lang w:val="vi-VN"/>
        </w:rPr>
        <w:t>c.</w:t>
      </w:r>
    </w:p>
    <w:p w14:paraId="55CC935A" w14:textId="77777777" w:rsidR="00F95505" w:rsidRDefault="00F95505"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5EB2CDAA" w14:textId="77777777" w:rsidR="005C0E32" w:rsidRPr="005E5122" w:rsidRDefault="005C0E32"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72F7AF91" w14:textId="77777777" w:rsidR="00015FBB" w:rsidRDefault="00435C77" w:rsidP="00FC617C">
      <w:pPr>
        <w:spacing w:line="480" w:lineRule="auto"/>
        <w:ind w:firstLine="567"/>
        <w:jc w:val="both"/>
        <w:rPr>
          <w:rFonts w:ascii="Times New Roman" w:eastAsia="Times New Roman" w:hAnsi="Times New Roman" w:cs="Times New Roman"/>
          <w:color w:val="000000" w:themeColor="text1"/>
        </w:rPr>
      </w:pPr>
      <w:r w:rsidRPr="00FC24B8">
        <w:rPr>
          <w:rFonts w:ascii="Times New Roman" w:eastAsia="Times New Roman" w:hAnsi="Times New Roman" w:cs="Times New Roman"/>
          <w:color w:val="000000" w:themeColor="text1"/>
        </w:rPr>
        <w:lastRenderedPageBreak/>
        <w:t>Hình 2.</w:t>
      </w:r>
      <w:r w:rsidR="00EC7BC2" w:rsidRPr="00FC24B8">
        <w:rPr>
          <w:rFonts w:ascii="Times New Roman" w:eastAsia="Times New Roman" w:hAnsi="Times New Roman" w:cs="Times New Roman"/>
          <w:color w:val="000000" w:themeColor="text1"/>
        </w:rPr>
        <w:t xml:space="preserve"> </w:t>
      </w:r>
      <w:r w:rsidR="00FC24B8">
        <w:rPr>
          <w:rFonts w:ascii="Times New Roman" w:eastAsia="Times New Roman" w:hAnsi="Times New Roman" w:cs="Times New Roman"/>
          <w:color w:val="000000" w:themeColor="text1"/>
        </w:rPr>
        <w:t>Mức lợi nhuận trung bình</w:t>
      </w:r>
      <w:r w:rsidRPr="00FC24B8">
        <w:rPr>
          <w:rFonts w:ascii="Times New Roman" w:eastAsia="Times New Roman" w:hAnsi="Times New Roman" w:cs="Times New Roman"/>
          <w:color w:val="000000" w:themeColor="text1"/>
        </w:rPr>
        <w:t xml:space="preserve"> của hộ trồng lúa ở Đồng bằng sông Cửu Long (%</w:t>
      </w:r>
      <w:r w:rsidR="00EC7BC2" w:rsidRPr="00FC24B8">
        <w:rPr>
          <w:rFonts w:ascii="Times New Roman" w:eastAsia="Times New Roman" w:hAnsi="Times New Roman" w:cs="Times New Roman"/>
          <w:color w:val="000000" w:themeColor="text1"/>
        </w:rPr>
        <w:t>)</w:t>
      </w:r>
    </w:p>
    <w:p w14:paraId="77C4C48F" w14:textId="77777777" w:rsidR="00EC7BC2" w:rsidRPr="005E5122" w:rsidRDefault="00EC7BC2" w:rsidP="00FC617C">
      <w:pPr>
        <w:spacing w:line="480" w:lineRule="auto"/>
        <w:ind w:firstLine="567"/>
        <w:jc w:val="both"/>
        <w:rPr>
          <w:rFonts w:ascii="Times New Roman" w:eastAsia="Times New Roman" w:hAnsi="Times New Roman" w:cs="Times New Roman"/>
          <w:color w:val="000000" w:themeColor="text1"/>
        </w:rPr>
      </w:pPr>
      <w:r w:rsidRPr="005E5122">
        <w:rPr>
          <w:rFonts w:ascii="Times New Roman" w:hAnsi="Times New Roman" w:cs="Times New Roman"/>
          <w:noProof/>
          <w:color w:val="000000" w:themeColor="text1"/>
          <w:lang w:val="en-US"/>
        </w:rPr>
        <w:drawing>
          <wp:inline distT="0" distB="0" distL="0" distR="0" wp14:anchorId="2A13ED4B" wp14:editId="59831EB3">
            <wp:extent cx="5258435" cy="2362623"/>
            <wp:effectExtent l="0" t="0" r="24765"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542CEA" w14:textId="56275708" w:rsidR="00EC7BC2" w:rsidRPr="00015FBB" w:rsidRDefault="00435C77" w:rsidP="00FC617C">
      <w:pPr>
        <w:spacing w:line="480" w:lineRule="auto"/>
        <w:ind w:firstLine="567"/>
        <w:jc w:val="both"/>
        <w:outlineLvl w:val="0"/>
        <w:rPr>
          <w:rFonts w:ascii="Times New Roman" w:hAnsi="Times New Roman" w:cs="Times New Roman"/>
          <w:color w:val="000000" w:themeColor="text1"/>
          <w:sz w:val="20"/>
          <w:szCs w:val="20"/>
        </w:rPr>
      </w:pPr>
      <w:r w:rsidRPr="00015FBB">
        <w:rPr>
          <w:rFonts w:ascii="Times New Roman" w:hAnsi="Times New Roman" w:cs="Times New Roman"/>
          <w:color w:val="000000" w:themeColor="text1"/>
          <w:sz w:val="20"/>
          <w:szCs w:val="20"/>
        </w:rPr>
        <w:t>Nguồn</w:t>
      </w:r>
      <w:r w:rsidR="00EC7BC2" w:rsidRPr="00015FBB">
        <w:rPr>
          <w:rFonts w:ascii="Times New Roman" w:hAnsi="Times New Roman" w:cs="Times New Roman"/>
          <w:color w:val="000000" w:themeColor="text1"/>
          <w:sz w:val="20"/>
          <w:szCs w:val="20"/>
        </w:rPr>
        <w:t>:</w:t>
      </w:r>
      <w:r w:rsidR="005C0E32">
        <w:rPr>
          <w:rFonts w:ascii="Times New Roman" w:hAnsi="Times New Roman" w:cs="Times New Roman"/>
          <w:color w:val="000000" w:themeColor="text1"/>
          <w:sz w:val="20"/>
          <w:szCs w:val="20"/>
        </w:rPr>
        <w:t xml:space="preserve"> </w:t>
      </w:r>
      <w:r w:rsidR="001D65D9">
        <w:rPr>
          <w:rFonts w:ascii="Times New Roman" w:hAnsi="Times New Roman" w:cs="Times New Roman"/>
          <w:color w:val="000000" w:themeColor="text1"/>
          <w:sz w:val="20"/>
          <w:szCs w:val="20"/>
        </w:rPr>
        <w:t>[5</w:t>
      </w:r>
      <w:r w:rsidR="0083473C">
        <w:rPr>
          <w:rFonts w:ascii="Times New Roman" w:hAnsi="Times New Roman" w:cs="Times New Roman"/>
          <w:color w:val="000000" w:themeColor="text1"/>
          <w:sz w:val="20"/>
          <w:szCs w:val="20"/>
        </w:rPr>
        <w:t>]</w:t>
      </w:r>
    </w:p>
    <w:p w14:paraId="49500CBD" w14:textId="033C1C97" w:rsidR="00FC24B8" w:rsidRDefault="007A02A4" w:rsidP="00FC617C">
      <w:pPr>
        <w:pStyle w:val="HTMLPreformatted"/>
        <w:spacing w:line="480" w:lineRule="auto"/>
        <w:ind w:firstLine="567"/>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Thêm vào đó, hộ</w:t>
      </w:r>
      <w:r w:rsidR="00EC7BC2" w:rsidRPr="005E5122">
        <w:rPr>
          <w:rFonts w:ascii="Times New Roman" w:hAnsi="Times New Roman" w:cs="Times New Roman"/>
          <w:color w:val="000000" w:themeColor="text1"/>
          <w:sz w:val="24"/>
          <w:szCs w:val="24"/>
          <w:lang w:val="vi-VN"/>
        </w:rPr>
        <w:t xml:space="preserve"> nông dân trồng lúa quy mô nhỏ</w:t>
      </w:r>
      <w:r w:rsidR="0039718F" w:rsidRPr="005E5122">
        <w:rPr>
          <w:rFonts w:ascii="Times New Roman" w:hAnsi="Times New Roman" w:cs="Times New Roman"/>
          <w:color w:val="000000" w:themeColor="text1"/>
          <w:sz w:val="24"/>
          <w:szCs w:val="24"/>
          <w:lang w:val="vi-VN"/>
        </w:rPr>
        <w:t xml:space="preserve"> đang gặp khó khăn</w:t>
      </w:r>
      <w:r w:rsidR="00EC7BC2" w:rsidRPr="005E5122">
        <w:rPr>
          <w:rFonts w:ascii="Times New Roman" w:hAnsi="Times New Roman" w:cs="Times New Roman"/>
          <w:color w:val="000000" w:themeColor="text1"/>
          <w:sz w:val="24"/>
          <w:szCs w:val="24"/>
          <w:lang w:val="vi-VN"/>
        </w:rPr>
        <w:t xml:space="preserve"> để tồn tại và </w:t>
      </w:r>
      <w:r w:rsidR="0039718F" w:rsidRPr="005E5122">
        <w:rPr>
          <w:rFonts w:ascii="Times New Roman" w:hAnsi="Times New Roman" w:cs="Times New Roman"/>
          <w:color w:val="000000" w:themeColor="text1"/>
          <w:sz w:val="24"/>
          <w:szCs w:val="24"/>
          <w:lang w:val="vi-VN"/>
        </w:rPr>
        <w:t>phải</w:t>
      </w:r>
      <w:r w:rsidR="00EC7BC2" w:rsidRPr="005E5122">
        <w:rPr>
          <w:rFonts w:ascii="Times New Roman" w:hAnsi="Times New Roman" w:cs="Times New Roman"/>
          <w:color w:val="000000" w:themeColor="text1"/>
          <w:sz w:val="24"/>
          <w:szCs w:val="24"/>
          <w:lang w:val="vi-VN"/>
        </w:rPr>
        <w:t xml:space="preserve"> đa dạng hoá sinh kế do thu nhập thấp và chi phí sản xuấ</w:t>
      </w:r>
      <w:r w:rsidR="0039718F" w:rsidRPr="005E5122">
        <w:rPr>
          <w:rFonts w:ascii="Times New Roman" w:hAnsi="Times New Roman" w:cs="Times New Roman"/>
          <w:color w:val="000000" w:themeColor="text1"/>
          <w:sz w:val="24"/>
          <w:szCs w:val="24"/>
          <w:lang w:val="vi-VN"/>
        </w:rPr>
        <w:t>t lúa tăng</w:t>
      </w:r>
      <w:r w:rsidR="00435C77" w:rsidRPr="005E5122">
        <w:rPr>
          <w:rFonts w:ascii="Times New Roman" w:hAnsi="Times New Roman" w:cs="Times New Roman"/>
          <w:color w:val="000000" w:themeColor="text1"/>
          <w:sz w:val="24"/>
          <w:szCs w:val="24"/>
          <w:lang w:val="vi-VN"/>
        </w:rPr>
        <w:t>. Hình 2</w:t>
      </w:r>
      <w:r w:rsidR="00EC7BC2" w:rsidRPr="005E5122">
        <w:rPr>
          <w:rFonts w:ascii="Times New Roman" w:hAnsi="Times New Roman" w:cs="Times New Roman"/>
          <w:color w:val="000000" w:themeColor="text1"/>
          <w:sz w:val="24"/>
          <w:szCs w:val="24"/>
          <w:lang w:val="vi-VN"/>
        </w:rPr>
        <w:t xml:space="preserve"> cho thấy tỷ lệ lợi nhuận trung bình thu đượ</w:t>
      </w:r>
      <w:r w:rsidR="00472812">
        <w:rPr>
          <w:rFonts w:ascii="Times New Roman" w:hAnsi="Times New Roman" w:cs="Times New Roman"/>
          <w:color w:val="000000" w:themeColor="text1"/>
          <w:sz w:val="24"/>
          <w:szCs w:val="24"/>
          <w:lang w:val="vi-VN"/>
        </w:rPr>
        <w:t>c của</w:t>
      </w:r>
      <w:r w:rsidR="003D3CAD">
        <w:rPr>
          <w:rFonts w:ascii="Times New Roman" w:hAnsi="Times New Roman" w:cs="Times New Roman"/>
          <w:color w:val="000000" w:themeColor="text1"/>
          <w:sz w:val="24"/>
          <w:szCs w:val="24"/>
          <w:lang w:val="vi-VN"/>
        </w:rPr>
        <w:t xml:space="preserve"> hộ</w:t>
      </w:r>
      <w:r w:rsidR="00EC7BC2" w:rsidRPr="005E5122">
        <w:rPr>
          <w:rFonts w:ascii="Times New Roman" w:hAnsi="Times New Roman" w:cs="Times New Roman"/>
          <w:color w:val="000000" w:themeColor="text1"/>
          <w:sz w:val="24"/>
          <w:szCs w:val="24"/>
          <w:lang w:val="vi-VN"/>
        </w:rPr>
        <w:t xml:space="preserve"> trồng lúa ở khu vực trồng lúa gạo lớn nhất ở Việt Nam. Tỷ suất lợi nhuận trong sản xuất lúa giảm từ 70% năm 2006 xuống còn 10% trong năm 2010. Một trong những lý do cho lợi nhuận thấp là chi phí sản xuất lúa tăng nhanh. </w:t>
      </w:r>
      <w:r w:rsidR="009915E3">
        <w:rPr>
          <w:rFonts w:ascii="Times New Roman" w:hAnsi="Times New Roman" w:cs="Times New Roman"/>
          <w:color w:val="000000" w:themeColor="text1"/>
          <w:sz w:val="24"/>
          <w:szCs w:val="24"/>
          <w:lang w:val="vi-VN"/>
        </w:rPr>
        <w:t>Hình 3 cung cấp thông tin về chi phí sản xuất lúa gạo ở đồng bằng sông Cửu Long</w:t>
      </w:r>
      <w:r w:rsidR="00EC7BC2" w:rsidRPr="005E5122">
        <w:rPr>
          <w:rFonts w:ascii="Times New Roman" w:hAnsi="Times New Roman" w:cs="Times New Roman"/>
          <w:color w:val="000000" w:themeColor="text1"/>
          <w:sz w:val="24"/>
          <w:szCs w:val="24"/>
          <w:lang w:val="vi-VN"/>
        </w:rPr>
        <w:t xml:space="preserve">, </w:t>
      </w:r>
      <w:r w:rsidR="009915E3">
        <w:rPr>
          <w:rFonts w:ascii="Times New Roman" w:hAnsi="Times New Roman" w:cs="Times New Roman"/>
          <w:color w:val="000000" w:themeColor="text1"/>
          <w:sz w:val="24"/>
          <w:szCs w:val="24"/>
          <w:lang w:val="vi-VN"/>
        </w:rPr>
        <w:t xml:space="preserve">có thể thấy </w:t>
      </w:r>
      <w:r w:rsidR="00EC7BC2" w:rsidRPr="005E5122">
        <w:rPr>
          <w:rFonts w:ascii="Times New Roman" w:hAnsi="Times New Roman" w:cs="Times New Roman"/>
          <w:color w:val="000000" w:themeColor="text1"/>
          <w:sz w:val="24"/>
          <w:szCs w:val="24"/>
          <w:lang w:val="vi-VN"/>
        </w:rPr>
        <w:t>chi phí phân bón và chi phí thuê lao độ</w:t>
      </w:r>
      <w:r w:rsidR="009915E3">
        <w:rPr>
          <w:rFonts w:ascii="Times New Roman" w:hAnsi="Times New Roman" w:cs="Times New Roman"/>
          <w:color w:val="000000" w:themeColor="text1"/>
          <w:sz w:val="24"/>
          <w:szCs w:val="24"/>
          <w:lang w:val="vi-VN"/>
        </w:rPr>
        <w:t>ng chiếm lần lượt là</w:t>
      </w:r>
      <w:r w:rsidR="00EC7BC2" w:rsidRPr="005E5122">
        <w:rPr>
          <w:rFonts w:ascii="Times New Roman" w:hAnsi="Times New Roman" w:cs="Times New Roman"/>
          <w:color w:val="000000" w:themeColor="text1"/>
          <w:sz w:val="24"/>
          <w:szCs w:val="24"/>
          <w:lang w:val="vi-VN"/>
        </w:rPr>
        <w:t xml:space="preserve"> 46,5</w:t>
      </w:r>
      <w:r w:rsidR="009915E3">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và 33,1% tổng chi phí sản xuất gạo năm 2010.</w:t>
      </w:r>
      <w:r w:rsidR="00067E2A">
        <w:rPr>
          <w:rFonts w:ascii="Times New Roman" w:hAnsi="Times New Roman" w:cs="Times New Roman"/>
          <w:color w:val="000000" w:themeColor="text1"/>
          <w:sz w:val="24"/>
          <w:szCs w:val="24"/>
          <w:lang w:val="vi-VN"/>
        </w:rPr>
        <w:t xml:space="preserve"> Trong nghiên cứu của</w:t>
      </w:r>
      <w:r w:rsidR="00EC7BC2" w:rsidRPr="005E5122">
        <w:rPr>
          <w:rFonts w:ascii="Times New Roman" w:hAnsi="Times New Roman" w:cs="Times New Roman"/>
          <w:color w:val="000000" w:themeColor="text1"/>
          <w:sz w:val="24"/>
          <w:szCs w:val="24"/>
          <w:lang w:val="vi-VN"/>
        </w:rPr>
        <w:t xml:space="preserve"> Ngân hàng thế giớ</w:t>
      </w:r>
      <w:r w:rsidR="00067E2A">
        <w:rPr>
          <w:rFonts w:ascii="Times New Roman" w:hAnsi="Times New Roman" w:cs="Times New Roman"/>
          <w:color w:val="000000" w:themeColor="text1"/>
          <w:sz w:val="24"/>
          <w:szCs w:val="24"/>
          <w:lang w:val="vi-VN"/>
        </w:rPr>
        <w:t>i năm 2012</w:t>
      </w:r>
      <w:r w:rsidR="00EC7BC2" w:rsidRPr="005E5122">
        <w:rPr>
          <w:rFonts w:ascii="Times New Roman" w:hAnsi="Times New Roman" w:cs="Times New Roman"/>
          <w:color w:val="000000" w:themeColor="text1"/>
          <w:sz w:val="24"/>
          <w:szCs w:val="24"/>
          <w:lang w:val="vi-VN"/>
        </w:rPr>
        <w:t xml:space="preserve"> cho thấy</w:t>
      </w:r>
      <w:r w:rsidR="00067E2A">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chính sách lúa gạo đã không tạo ra thu nhập chính cho người trồng lúa mặ</w:t>
      </w:r>
      <w:r w:rsidR="001C7F73">
        <w:rPr>
          <w:rFonts w:ascii="Times New Roman" w:hAnsi="Times New Roman" w:cs="Times New Roman"/>
          <w:color w:val="000000" w:themeColor="text1"/>
          <w:sz w:val="24"/>
          <w:szCs w:val="24"/>
          <w:lang w:val="vi-VN"/>
        </w:rPr>
        <w:t>c dù nông dân</w:t>
      </w:r>
      <w:r w:rsidR="00EC7BC2" w:rsidRPr="005E5122">
        <w:rPr>
          <w:rFonts w:ascii="Times New Roman" w:hAnsi="Times New Roman" w:cs="Times New Roman"/>
          <w:color w:val="000000" w:themeColor="text1"/>
          <w:sz w:val="24"/>
          <w:szCs w:val="24"/>
          <w:lang w:val="vi-VN"/>
        </w:rPr>
        <w:t xml:space="preserve"> đã dành phần lớn thời gian và công sức cho sản xuất lúa gạo. Tỷ trọng thu nhậ</w:t>
      </w:r>
      <w:r w:rsidR="001C7F73">
        <w:rPr>
          <w:rFonts w:ascii="Times New Roman" w:hAnsi="Times New Roman" w:cs="Times New Roman"/>
          <w:color w:val="000000" w:themeColor="text1"/>
          <w:sz w:val="24"/>
          <w:szCs w:val="24"/>
          <w:lang w:val="vi-VN"/>
        </w:rPr>
        <w:t>p bình quân từ cây lúa</w:t>
      </w:r>
      <w:r w:rsidR="00EC7BC2" w:rsidRPr="005E5122">
        <w:rPr>
          <w:rFonts w:ascii="Times New Roman" w:hAnsi="Times New Roman" w:cs="Times New Roman"/>
          <w:color w:val="000000" w:themeColor="text1"/>
          <w:sz w:val="24"/>
          <w:szCs w:val="24"/>
          <w:lang w:val="vi-VN"/>
        </w:rPr>
        <w:t xml:space="preserve"> trong tổng thu nhập chỉ chiế</w:t>
      </w:r>
      <w:r w:rsidR="001C7F73">
        <w:rPr>
          <w:rFonts w:ascii="Times New Roman" w:hAnsi="Times New Roman" w:cs="Times New Roman"/>
          <w:color w:val="000000" w:themeColor="text1"/>
          <w:sz w:val="24"/>
          <w:szCs w:val="24"/>
          <w:lang w:val="vi-VN"/>
        </w:rPr>
        <w:t xml:space="preserve">m 20% từ các hộ có diện tích </w:t>
      </w:r>
      <w:r w:rsidR="00EC7BC2" w:rsidRPr="005E5122">
        <w:rPr>
          <w:rFonts w:ascii="Times New Roman" w:hAnsi="Times New Roman" w:cs="Times New Roman"/>
          <w:color w:val="000000" w:themeColor="text1"/>
          <w:sz w:val="24"/>
          <w:szCs w:val="24"/>
          <w:lang w:val="vi-VN"/>
        </w:rPr>
        <w:t>nhỏ hơn 0,5 ha.</w:t>
      </w:r>
    </w:p>
    <w:p w14:paraId="5FE9AAFD" w14:textId="77777777" w:rsidR="00015FBB" w:rsidRDefault="00015FB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22519F87" w14:textId="77777777" w:rsidR="00015FBB" w:rsidRDefault="00015FBB"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71D42761" w14:textId="77777777" w:rsidR="00015FBB" w:rsidRDefault="00015FBB" w:rsidP="00FC617C">
      <w:pPr>
        <w:pStyle w:val="HTMLPreformatted"/>
        <w:spacing w:line="480" w:lineRule="auto"/>
        <w:jc w:val="both"/>
        <w:rPr>
          <w:rFonts w:ascii="Times New Roman" w:hAnsi="Times New Roman" w:cs="Times New Roman"/>
          <w:color w:val="000000" w:themeColor="text1"/>
          <w:sz w:val="24"/>
          <w:szCs w:val="24"/>
          <w:lang w:val="vi-VN"/>
        </w:rPr>
      </w:pPr>
    </w:p>
    <w:p w14:paraId="243DD66A" w14:textId="77777777" w:rsidR="00F95505" w:rsidRDefault="00F95505" w:rsidP="00FC617C">
      <w:pPr>
        <w:pStyle w:val="HTMLPreformatted"/>
        <w:spacing w:line="480" w:lineRule="auto"/>
        <w:jc w:val="both"/>
        <w:rPr>
          <w:rFonts w:ascii="Times New Roman" w:hAnsi="Times New Roman" w:cs="Times New Roman"/>
          <w:color w:val="000000" w:themeColor="text1"/>
          <w:sz w:val="24"/>
          <w:szCs w:val="24"/>
          <w:lang w:val="vi-VN"/>
        </w:rPr>
      </w:pPr>
    </w:p>
    <w:p w14:paraId="73575781" w14:textId="77777777" w:rsidR="00F95505" w:rsidRPr="005E5122" w:rsidRDefault="00F95505" w:rsidP="00FC617C">
      <w:pPr>
        <w:pStyle w:val="HTMLPreformatted"/>
        <w:spacing w:line="480" w:lineRule="auto"/>
        <w:jc w:val="both"/>
        <w:rPr>
          <w:rFonts w:ascii="Times New Roman" w:hAnsi="Times New Roman" w:cs="Times New Roman"/>
          <w:color w:val="000000" w:themeColor="text1"/>
          <w:sz w:val="24"/>
          <w:szCs w:val="24"/>
          <w:lang w:val="vi-VN"/>
        </w:rPr>
      </w:pPr>
    </w:p>
    <w:p w14:paraId="4D881427" w14:textId="0F4CADFD" w:rsidR="00EC7BC2" w:rsidRPr="000909E4" w:rsidRDefault="0039718F" w:rsidP="00FC617C">
      <w:pPr>
        <w:spacing w:line="480" w:lineRule="auto"/>
        <w:ind w:firstLine="567"/>
        <w:jc w:val="both"/>
        <w:outlineLvl w:val="0"/>
        <w:rPr>
          <w:rFonts w:ascii="Times New Roman" w:hAnsi="Times New Roman" w:cs="Times New Roman"/>
          <w:color w:val="000000" w:themeColor="text1"/>
        </w:rPr>
      </w:pPr>
      <w:r w:rsidRPr="000909E4">
        <w:rPr>
          <w:rFonts w:ascii="Times New Roman" w:hAnsi="Times New Roman" w:cs="Times New Roman"/>
          <w:color w:val="000000" w:themeColor="text1"/>
        </w:rPr>
        <w:lastRenderedPageBreak/>
        <w:t>Hình</w:t>
      </w:r>
      <w:r w:rsidR="00EC7BC2" w:rsidRPr="000909E4">
        <w:rPr>
          <w:rFonts w:ascii="Times New Roman" w:hAnsi="Times New Roman" w:cs="Times New Roman"/>
          <w:color w:val="000000" w:themeColor="text1"/>
        </w:rPr>
        <w:t xml:space="preserve"> 3. </w:t>
      </w:r>
      <w:r w:rsidR="00435C77" w:rsidRPr="000909E4">
        <w:rPr>
          <w:rFonts w:ascii="Times New Roman" w:hAnsi="Times New Roman" w:cs="Times New Roman"/>
          <w:color w:val="000000" w:themeColor="text1"/>
        </w:rPr>
        <w:t>Chi phí sản xuất lúa gạo ở Đồng bằng sông Cửu Long (1000 đồng/ha</w:t>
      </w:r>
      <w:r w:rsidR="00EC7BC2" w:rsidRPr="000909E4">
        <w:rPr>
          <w:rFonts w:ascii="Times New Roman" w:hAnsi="Times New Roman" w:cs="Times New Roman"/>
          <w:color w:val="000000" w:themeColor="text1"/>
        </w:rPr>
        <w:t>)</w:t>
      </w:r>
    </w:p>
    <w:p w14:paraId="24AD1DB6" w14:textId="749C61CD" w:rsidR="00012427" w:rsidRDefault="00012427" w:rsidP="00FC617C">
      <w:pPr>
        <w:spacing w:line="480" w:lineRule="auto"/>
        <w:jc w:val="center"/>
        <w:rPr>
          <w:rFonts w:ascii="Times New Roman" w:hAnsi="Times New Roman" w:cs="Times New Roman"/>
          <w:color w:val="000000" w:themeColor="text1"/>
        </w:rPr>
      </w:pPr>
      <w:r>
        <w:rPr>
          <w:noProof/>
          <w:lang w:val="en-US"/>
        </w:rPr>
        <w:drawing>
          <wp:inline distT="0" distB="0" distL="0" distR="0" wp14:anchorId="2E60DF93" wp14:editId="5526BA0F">
            <wp:extent cx="5828030" cy="2490763"/>
            <wp:effectExtent l="0" t="0" r="1397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C7494A" w14:textId="32693E35" w:rsidR="00EC7BC2" w:rsidRPr="00015FBB" w:rsidRDefault="00B65195" w:rsidP="00FC617C">
      <w:pPr>
        <w:spacing w:line="480" w:lineRule="auto"/>
        <w:ind w:firstLine="567"/>
        <w:jc w:val="both"/>
        <w:rPr>
          <w:rFonts w:ascii="Times New Roman" w:hAnsi="Times New Roman" w:cs="Times New Roman"/>
          <w:color w:val="000000" w:themeColor="text1"/>
          <w:sz w:val="20"/>
          <w:szCs w:val="20"/>
        </w:rPr>
      </w:pPr>
      <w:r w:rsidRPr="00015FBB">
        <w:rPr>
          <w:rFonts w:ascii="Times New Roman" w:hAnsi="Times New Roman" w:cs="Times New Roman"/>
          <w:color w:val="000000" w:themeColor="text1"/>
          <w:sz w:val="20"/>
          <w:szCs w:val="20"/>
        </w:rPr>
        <w:t>Nguồn</w:t>
      </w:r>
      <w:r w:rsidR="005C0E32">
        <w:rPr>
          <w:rFonts w:ascii="Times New Roman" w:hAnsi="Times New Roman" w:cs="Times New Roman"/>
          <w:color w:val="000000" w:themeColor="text1"/>
          <w:sz w:val="20"/>
          <w:szCs w:val="20"/>
        </w:rPr>
        <w:t>:</w:t>
      </w:r>
      <w:r w:rsidR="001D65D9">
        <w:rPr>
          <w:rFonts w:ascii="Times New Roman" w:hAnsi="Times New Roman" w:cs="Times New Roman"/>
          <w:color w:val="000000" w:themeColor="text1"/>
          <w:sz w:val="20"/>
          <w:szCs w:val="20"/>
        </w:rPr>
        <w:t xml:space="preserve"> [6</w:t>
      </w:r>
      <w:r w:rsidR="0083473C">
        <w:rPr>
          <w:rFonts w:ascii="Times New Roman" w:hAnsi="Times New Roman" w:cs="Times New Roman"/>
          <w:color w:val="000000" w:themeColor="text1"/>
          <w:sz w:val="20"/>
          <w:szCs w:val="20"/>
        </w:rPr>
        <w:t>]</w:t>
      </w:r>
    </w:p>
    <w:p w14:paraId="3F045A82" w14:textId="230E8A49" w:rsidR="00EC7BC2" w:rsidRDefault="00EC7BC2"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E5122">
        <w:rPr>
          <w:rFonts w:ascii="Times New Roman" w:hAnsi="Times New Roman" w:cs="Times New Roman"/>
          <w:color w:val="000000" w:themeColor="text1"/>
          <w:sz w:val="24"/>
          <w:szCs w:val="24"/>
          <w:lang w:val="vi-VN"/>
        </w:rPr>
        <w:t>Tương tự như vậy, Bả</w:t>
      </w:r>
      <w:r w:rsidR="005C1280" w:rsidRPr="005E5122">
        <w:rPr>
          <w:rFonts w:ascii="Times New Roman" w:hAnsi="Times New Roman" w:cs="Times New Roman"/>
          <w:color w:val="000000" w:themeColor="text1"/>
          <w:sz w:val="24"/>
          <w:szCs w:val="24"/>
          <w:lang w:val="vi-VN"/>
        </w:rPr>
        <w:t>ng 1</w:t>
      </w:r>
      <w:r w:rsidRPr="005E5122">
        <w:rPr>
          <w:rFonts w:ascii="Times New Roman" w:hAnsi="Times New Roman" w:cs="Times New Roman"/>
          <w:color w:val="000000" w:themeColor="text1"/>
          <w:sz w:val="24"/>
          <w:szCs w:val="24"/>
          <w:lang w:val="vi-VN"/>
        </w:rPr>
        <w:t xml:space="preserve"> c</w:t>
      </w:r>
      <w:r w:rsidR="007A631E">
        <w:rPr>
          <w:rFonts w:ascii="Times New Roman" w:hAnsi="Times New Roman" w:cs="Times New Roman"/>
          <w:color w:val="000000" w:themeColor="text1"/>
          <w:sz w:val="24"/>
          <w:szCs w:val="24"/>
          <w:lang w:val="vi-VN"/>
        </w:rPr>
        <w:t>ung cấp thông tin về thu nhập bình quân hàng tháng củ</w:t>
      </w:r>
      <w:r w:rsidR="00BF3BCD">
        <w:rPr>
          <w:rFonts w:ascii="Times New Roman" w:hAnsi="Times New Roman" w:cs="Times New Roman"/>
          <w:color w:val="000000" w:themeColor="text1"/>
          <w:sz w:val="24"/>
          <w:szCs w:val="24"/>
          <w:lang w:val="vi-VN"/>
        </w:rPr>
        <w:t xml:space="preserve">a </w:t>
      </w:r>
      <w:r w:rsidR="00B65195">
        <w:rPr>
          <w:rFonts w:ascii="Times New Roman" w:hAnsi="Times New Roman" w:cs="Times New Roman"/>
          <w:color w:val="000000" w:themeColor="text1"/>
          <w:sz w:val="24"/>
          <w:szCs w:val="24"/>
          <w:lang w:val="vi-VN"/>
        </w:rPr>
        <w:t>hộ</w:t>
      </w:r>
      <w:r w:rsidRPr="005E5122">
        <w:rPr>
          <w:rFonts w:ascii="Times New Roman" w:hAnsi="Times New Roman" w:cs="Times New Roman"/>
          <w:color w:val="000000" w:themeColor="text1"/>
          <w:sz w:val="24"/>
          <w:szCs w:val="24"/>
          <w:lang w:val="vi-VN"/>
        </w:rPr>
        <w:t xml:space="preserve"> nông dân </w:t>
      </w:r>
      <w:r w:rsidR="00BF3BCD">
        <w:rPr>
          <w:rFonts w:ascii="Times New Roman" w:hAnsi="Times New Roman" w:cs="Times New Roman"/>
          <w:color w:val="000000" w:themeColor="text1"/>
          <w:sz w:val="24"/>
          <w:szCs w:val="24"/>
          <w:lang w:val="vi-VN"/>
        </w:rPr>
        <w:t>từ các nguồn khác nhau</w:t>
      </w:r>
      <w:r w:rsidRPr="005E5122">
        <w:rPr>
          <w:rFonts w:ascii="Times New Roman" w:hAnsi="Times New Roman" w:cs="Times New Roman"/>
          <w:color w:val="000000" w:themeColor="text1"/>
          <w:sz w:val="24"/>
          <w:szCs w:val="24"/>
          <w:lang w:val="vi-VN"/>
        </w:rPr>
        <w:t xml:space="preserve"> ở đồng bằng sông Cử</w:t>
      </w:r>
      <w:r w:rsidR="00BF3BCD">
        <w:rPr>
          <w:rFonts w:ascii="Times New Roman" w:hAnsi="Times New Roman" w:cs="Times New Roman"/>
          <w:color w:val="000000" w:themeColor="text1"/>
          <w:sz w:val="24"/>
          <w:szCs w:val="24"/>
          <w:lang w:val="vi-VN"/>
        </w:rPr>
        <w:t>u Long</w:t>
      </w:r>
      <w:r w:rsidRPr="005E5122">
        <w:rPr>
          <w:rFonts w:ascii="Times New Roman" w:hAnsi="Times New Roman" w:cs="Times New Roman"/>
          <w:color w:val="000000" w:themeColor="text1"/>
          <w:sz w:val="24"/>
          <w:szCs w:val="24"/>
          <w:lang w:val="vi-VN"/>
        </w:rPr>
        <w:t>. Thu nhập bình quân đầu người một tháng từ</w:t>
      </w:r>
      <w:r w:rsidR="00B65195">
        <w:rPr>
          <w:rFonts w:ascii="Times New Roman" w:hAnsi="Times New Roman" w:cs="Times New Roman"/>
          <w:color w:val="000000" w:themeColor="text1"/>
          <w:sz w:val="24"/>
          <w:szCs w:val="24"/>
          <w:lang w:val="vi-VN"/>
        </w:rPr>
        <w:t xml:space="preserve"> cây lúa</w:t>
      </w:r>
      <w:r w:rsidRPr="005E5122">
        <w:rPr>
          <w:rFonts w:ascii="Times New Roman" w:hAnsi="Times New Roman" w:cs="Times New Roman"/>
          <w:color w:val="000000" w:themeColor="text1"/>
          <w:sz w:val="24"/>
          <w:szCs w:val="24"/>
          <w:lang w:val="vi-VN"/>
        </w:rPr>
        <w:t xml:space="preserve"> cho các hộ gia đình có quy mô trang trại nhỏ hơn 2 ha nằm dưới chuẩn nghèo chính thức ở </w:t>
      </w:r>
      <w:r w:rsidR="00BF3BCD">
        <w:rPr>
          <w:rFonts w:ascii="Times New Roman" w:hAnsi="Times New Roman" w:cs="Times New Roman"/>
          <w:color w:val="000000" w:themeColor="text1"/>
          <w:sz w:val="24"/>
          <w:szCs w:val="24"/>
          <w:lang w:val="vi-VN"/>
        </w:rPr>
        <w:t xml:space="preserve">khu vực </w:t>
      </w:r>
      <w:r w:rsidRPr="005E5122">
        <w:rPr>
          <w:rFonts w:ascii="Times New Roman" w:hAnsi="Times New Roman" w:cs="Times New Roman"/>
          <w:color w:val="000000" w:themeColor="text1"/>
          <w:sz w:val="24"/>
          <w:szCs w:val="24"/>
          <w:lang w:val="vi-VN"/>
        </w:rPr>
        <w:t>nông thôn (400.000 đồ</w:t>
      </w:r>
      <w:r w:rsidR="00B65195">
        <w:rPr>
          <w:rFonts w:ascii="Times New Roman" w:hAnsi="Times New Roman" w:cs="Times New Roman"/>
          <w:color w:val="000000" w:themeColor="text1"/>
          <w:sz w:val="24"/>
          <w:szCs w:val="24"/>
          <w:lang w:val="vi-VN"/>
        </w:rPr>
        <w:t>ng/</w:t>
      </w:r>
      <w:r w:rsidRPr="005E5122">
        <w:rPr>
          <w:rFonts w:ascii="Times New Roman" w:hAnsi="Times New Roman" w:cs="Times New Roman"/>
          <w:color w:val="000000" w:themeColor="text1"/>
          <w:sz w:val="24"/>
          <w:szCs w:val="24"/>
          <w:lang w:val="vi-VN"/>
        </w:rPr>
        <w:t>ngườ</w:t>
      </w:r>
      <w:r w:rsidR="00B65195">
        <w:rPr>
          <w:rFonts w:ascii="Times New Roman" w:hAnsi="Times New Roman" w:cs="Times New Roman"/>
          <w:color w:val="000000" w:themeColor="text1"/>
          <w:sz w:val="24"/>
          <w:szCs w:val="24"/>
          <w:lang w:val="vi-VN"/>
        </w:rPr>
        <w:t>i/tháng trong năm 2012</w:t>
      </w:r>
      <w:r w:rsidRPr="005E5122">
        <w:rPr>
          <w:rFonts w:ascii="Times New Roman" w:hAnsi="Times New Roman" w:cs="Times New Roman"/>
          <w:color w:val="000000" w:themeColor="text1"/>
          <w:sz w:val="24"/>
          <w:szCs w:val="24"/>
          <w:lang w:val="vi-VN"/>
        </w:rPr>
        <w:t>). Để khuyến khích các hộ nông dân sản xuất gạo, chính phủ Việt Nam đã hỗ trợ cho ngành lúa gạo thông qua hỗ trợ giá cả</w:t>
      </w:r>
      <w:r w:rsidR="00B65195">
        <w:rPr>
          <w:rFonts w:ascii="Times New Roman" w:hAnsi="Times New Roman" w:cs="Times New Roman"/>
          <w:color w:val="000000" w:themeColor="text1"/>
          <w:sz w:val="24"/>
          <w:szCs w:val="24"/>
          <w:lang w:val="vi-VN"/>
        </w:rPr>
        <w:t xml:space="preserve">, các chính sách thu mua lua </w:t>
      </w:r>
      <w:r w:rsidRPr="005E5122">
        <w:rPr>
          <w:rFonts w:ascii="Times New Roman" w:hAnsi="Times New Roman" w:cs="Times New Roman"/>
          <w:color w:val="000000" w:themeColor="text1"/>
          <w:sz w:val="24"/>
          <w:szCs w:val="24"/>
          <w:lang w:val="vi-VN"/>
        </w:rPr>
        <w:t>và trợ cấp đầ</w:t>
      </w:r>
      <w:r w:rsidR="005C0E32">
        <w:rPr>
          <w:rFonts w:ascii="Times New Roman" w:hAnsi="Times New Roman" w:cs="Times New Roman"/>
          <w:color w:val="000000" w:themeColor="text1"/>
          <w:sz w:val="24"/>
          <w:szCs w:val="24"/>
          <w:lang w:val="vi-VN"/>
        </w:rPr>
        <w:t>u vào</w:t>
      </w:r>
      <w:r w:rsidR="001D65D9">
        <w:rPr>
          <w:rFonts w:ascii="Times New Roman" w:hAnsi="Times New Roman" w:cs="Times New Roman"/>
          <w:color w:val="000000" w:themeColor="text1"/>
          <w:sz w:val="24"/>
          <w:szCs w:val="24"/>
          <w:lang w:val="vi-VN"/>
        </w:rPr>
        <w:t xml:space="preserve"> [7,5</w:t>
      </w:r>
      <w:r w:rsidR="0083473C">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xml:space="preserve">. </w:t>
      </w:r>
      <w:r w:rsidR="00B65195">
        <w:rPr>
          <w:rFonts w:ascii="Times New Roman" w:hAnsi="Times New Roman" w:cs="Times New Roman"/>
          <w:color w:val="000000" w:themeColor="text1"/>
          <w:sz w:val="24"/>
          <w:szCs w:val="24"/>
          <w:lang w:val="vi-VN"/>
        </w:rPr>
        <w:t>Tuy nhiên, n</w:t>
      </w:r>
      <w:r w:rsidRPr="005E5122">
        <w:rPr>
          <w:rFonts w:ascii="Times New Roman" w:hAnsi="Times New Roman" w:cs="Times New Roman"/>
          <w:color w:val="000000" w:themeColor="text1"/>
          <w:sz w:val="24"/>
          <w:szCs w:val="24"/>
          <w:lang w:val="vi-VN"/>
        </w:rPr>
        <w:t>hững nỗ lự</w:t>
      </w:r>
      <w:r w:rsidR="00B65195">
        <w:rPr>
          <w:rFonts w:ascii="Times New Roman" w:hAnsi="Times New Roman" w:cs="Times New Roman"/>
          <w:color w:val="000000" w:themeColor="text1"/>
          <w:sz w:val="24"/>
          <w:szCs w:val="24"/>
          <w:lang w:val="vi-VN"/>
        </w:rPr>
        <w:t>c</w:t>
      </w:r>
      <w:r w:rsidRPr="005E5122">
        <w:rPr>
          <w:rFonts w:ascii="Times New Roman" w:hAnsi="Times New Roman" w:cs="Times New Roman"/>
          <w:color w:val="000000" w:themeColor="text1"/>
          <w:sz w:val="24"/>
          <w:szCs w:val="24"/>
          <w:lang w:val="vi-VN"/>
        </w:rPr>
        <w:t xml:space="preserve"> này để hỗ trợ cho ngành lúa gạo đã gây </w:t>
      </w:r>
      <w:r w:rsidR="00B65195">
        <w:rPr>
          <w:rFonts w:ascii="Times New Roman" w:hAnsi="Times New Roman" w:cs="Times New Roman"/>
          <w:color w:val="000000" w:themeColor="text1"/>
          <w:sz w:val="24"/>
          <w:szCs w:val="24"/>
          <w:lang w:val="vi-VN"/>
        </w:rPr>
        <w:t xml:space="preserve">ra nhiều </w:t>
      </w:r>
      <w:r w:rsidRPr="005E5122">
        <w:rPr>
          <w:rFonts w:ascii="Times New Roman" w:hAnsi="Times New Roman" w:cs="Times New Roman"/>
          <w:color w:val="000000" w:themeColor="text1"/>
          <w:sz w:val="24"/>
          <w:szCs w:val="24"/>
          <w:lang w:val="vi-VN"/>
        </w:rPr>
        <w:t>áp lực nhiề</w:t>
      </w:r>
      <w:r w:rsidR="00B65195">
        <w:rPr>
          <w:rFonts w:ascii="Times New Roman" w:hAnsi="Times New Roman" w:cs="Times New Roman"/>
          <w:color w:val="000000" w:themeColor="text1"/>
          <w:sz w:val="24"/>
          <w:szCs w:val="24"/>
          <w:lang w:val="vi-VN"/>
        </w:rPr>
        <w:t>u</w:t>
      </w:r>
      <w:r w:rsidRPr="005E5122">
        <w:rPr>
          <w:rFonts w:ascii="Times New Roman" w:hAnsi="Times New Roman" w:cs="Times New Roman"/>
          <w:color w:val="000000" w:themeColor="text1"/>
          <w:sz w:val="24"/>
          <w:szCs w:val="24"/>
          <w:lang w:val="vi-VN"/>
        </w:rPr>
        <w:t xml:space="preserve"> cho ngân sách nhà nước trong bối cả</w:t>
      </w:r>
      <w:r w:rsidR="00B65195">
        <w:rPr>
          <w:rFonts w:ascii="Times New Roman" w:hAnsi="Times New Roman" w:cs="Times New Roman"/>
          <w:color w:val="000000" w:themeColor="text1"/>
          <w:sz w:val="24"/>
          <w:szCs w:val="24"/>
          <w:lang w:val="vi-VN"/>
        </w:rPr>
        <w:t xml:space="preserve">nh khó khăn về ngân sách ở các địa phương. </w:t>
      </w:r>
    </w:p>
    <w:p w14:paraId="705B865A" w14:textId="77777777" w:rsidR="00BF478F" w:rsidRPr="00B65195" w:rsidRDefault="00BF478F" w:rsidP="00F95505">
      <w:pPr>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Bảng 1. Thu nhập bình quân đầu người hàng tháng của hộ gia đình nông nghiệp từ các nguồn </w:t>
      </w:r>
      <w:r w:rsidRPr="00B65195">
        <w:rPr>
          <w:rFonts w:ascii="Times New Roman" w:hAnsi="Times New Roman" w:cs="Times New Roman"/>
          <w:color w:val="000000" w:themeColor="text1"/>
        </w:rPr>
        <w:t>khác nhau ở Đồng bằng sông Cửu Long, 2012 (1000 VND)</w:t>
      </w:r>
    </w:p>
    <w:tbl>
      <w:tblPr>
        <w:tblW w:w="9182" w:type="dxa"/>
        <w:tblLook w:val="04A0" w:firstRow="1" w:lastRow="0" w:firstColumn="1" w:lastColumn="0" w:noHBand="0" w:noVBand="1"/>
      </w:tblPr>
      <w:tblGrid>
        <w:gridCol w:w="1242"/>
        <w:gridCol w:w="1370"/>
        <w:gridCol w:w="1297"/>
        <w:gridCol w:w="1103"/>
        <w:gridCol w:w="1282"/>
        <w:gridCol w:w="1483"/>
        <w:gridCol w:w="1405"/>
      </w:tblGrid>
      <w:tr w:rsidR="00BF478F" w:rsidRPr="00BE0606" w14:paraId="78DF0DC6" w14:textId="77777777" w:rsidTr="00D033A3">
        <w:tc>
          <w:tcPr>
            <w:tcW w:w="1242" w:type="dxa"/>
            <w:tcBorders>
              <w:top w:val="single" w:sz="4" w:space="0" w:color="auto"/>
              <w:bottom w:val="single" w:sz="4" w:space="0" w:color="auto"/>
            </w:tcBorders>
            <w:vAlign w:val="center"/>
          </w:tcPr>
          <w:p w14:paraId="023E146C" w14:textId="77777777" w:rsidR="00BF478F" w:rsidRPr="00BE0606" w:rsidRDefault="00BF478F" w:rsidP="00F95505">
            <w:pPr>
              <w:jc w:val="both"/>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Quy mô trang trại</w:t>
            </w:r>
          </w:p>
        </w:tc>
        <w:tc>
          <w:tcPr>
            <w:tcW w:w="1370" w:type="dxa"/>
            <w:tcBorders>
              <w:top w:val="single" w:sz="4" w:space="0" w:color="auto"/>
              <w:bottom w:val="single" w:sz="4" w:space="0" w:color="auto"/>
            </w:tcBorders>
            <w:vAlign w:val="center"/>
          </w:tcPr>
          <w:p w14:paraId="22A2321A" w14:textId="77777777" w:rsidR="00BF478F" w:rsidRPr="00BE0606" w:rsidRDefault="00BF478F" w:rsidP="00F95505">
            <w:pPr>
              <w:jc w:val="center"/>
              <w:rPr>
                <w:rFonts w:ascii="Times New Roman" w:hAnsi="Times New Roman" w:cs="Times New Roman"/>
                <w:color w:val="000000" w:themeColor="text1"/>
                <w:sz w:val="22"/>
                <w:szCs w:val="22"/>
              </w:rPr>
            </w:pPr>
          </w:p>
        </w:tc>
        <w:tc>
          <w:tcPr>
            <w:tcW w:w="1297" w:type="dxa"/>
            <w:tcBorders>
              <w:top w:val="single" w:sz="4" w:space="0" w:color="auto"/>
              <w:bottom w:val="single" w:sz="4" w:space="0" w:color="auto"/>
            </w:tcBorders>
            <w:vAlign w:val="center"/>
          </w:tcPr>
          <w:p w14:paraId="4368D222"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Tổng thu nhập</w:t>
            </w:r>
          </w:p>
        </w:tc>
        <w:tc>
          <w:tcPr>
            <w:tcW w:w="1103" w:type="dxa"/>
            <w:tcBorders>
              <w:top w:val="single" w:sz="4" w:space="0" w:color="auto"/>
              <w:bottom w:val="single" w:sz="4" w:space="0" w:color="auto"/>
            </w:tcBorders>
            <w:vAlign w:val="center"/>
          </w:tcPr>
          <w:p w14:paraId="27524628"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Thu nhập từ trồng lúa</w:t>
            </w:r>
          </w:p>
        </w:tc>
        <w:tc>
          <w:tcPr>
            <w:tcW w:w="1282" w:type="dxa"/>
            <w:tcBorders>
              <w:top w:val="single" w:sz="4" w:space="0" w:color="auto"/>
              <w:bottom w:val="single" w:sz="4" w:space="0" w:color="auto"/>
            </w:tcBorders>
            <w:vAlign w:val="center"/>
          </w:tcPr>
          <w:p w14:paraId="1A5A4446"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Thu nhập từ cây trồng khác</w:t>
            </w:r>
          </w:p>
        </w:tc>
        <w:tc>
          <w:tcPr>
            <w:tcW w:w="1483" w:type="dxa"/>
            <w:tcBorders>
              <w:top w:val="single" w:sz="4" w:space="0" w:color="auto"/>
              <w:bottom w:val="single" w:sz="4" w:space="0" w:color="auto"/>
            </w:tcBorders>
            <w:vAlign w:val="center"/>
          </w:tcPr>
          <w:p w14:paraId="13F9FFCF" w14:textId="77777777" w:rsidR="00BF478F" w:rsidRPr="00BE0606" w:rsidRDefault="00BF478F" w:rsidP="00F95505">
            <w:pPr>
              <w:ind w:right="-102"/>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Thu nhập từ thuỷ sản và chăn nuôi</w:t>
            </w:r>
          </w:p>
        </w:tc>
        <w:tc>
          <w:tcPr>
            <w:tcW w:w="1405" w:type="dxa"/>
            <w:tcBorders>
              <w:top w:val="single" w:sz="4" w:space="0" w:color="auto"/>
              <w:bottom w:val="single" w:sz="4" w:space="0" w:color="auto"/>
            </w:tcBorders>
            <w:vAlign w:val="center"/>
          </w:tcPr>
          <w:p w14:paraId="78D75B86"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Thu nhập phi nông nghiệp</w:t>
            </w:r>
          </w:p>
        </w:tc>
      </w:tr>
      <w:tr w:rsidR="00BF478F" w:rsidRPr="00BE0606" w14:paraId="7A89DB5C" w14:textId="77777777" w:rsidTr="00D033A3">
        <w:tc>
          <w:tcPr>
            <w:tcW w:w="1242" w:type="dxa"/>
            <w:tcBorders>
              <w:top w:val="single" w:sz="4" w:space="0" w:color="auto"/>
            </w:tcBorders>
            <w:shd w:val="clear" w:color="auto" w:fill="D9E2F3" w:themeFill="accent1" w:themeFillTint="33"/>
          </w:tcPr>
          <w:p w14:paraId="20206CED" w14:textId="77777777" w:rsidR="00BF478F" w:rsidRPr="00BE0606" w:rsidRDefault="00BF478F" w:rsidP="00F95505">
            <w:pPr>
              <w:jc w:val="both"/>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&lt;1 ha</w:t>
            </w:r>
          </w:p>
        </w:tc>
        <w:tc>
          <w:tcPr>
            <w:tcW w:w="1370" w:type="dxa"/>
            <w:tcBorders>
              <w:top w:val="single" w:sz="4" w:space="0" w:color="auto"/>
            </w:tcBorders>
            <w:shd w:val="clear" w:color="auto" w:fill="D9E2F3" w:themeFill="accent1" w:themeFillTint="33"/>
            <w:vAlign w:val="center"/>
          </w:tcPr>
          <w:p w14:paraId="16FF8DA7"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Trung bình %</w:t>
            </w:r>
          </w:p>
        </w:tc>
        <w:tc>
          <w:tcPr>
            <w:tcW w:w="1297" w:type="dxa"/>
            <w:tcBorders>
              <w:top w:val="single" w:sz="4" w:space="0" w:color="auto"/>
            </w:tcBorders>
            <w:shd w:val="clear" w:color="auto" w:fill="D9E2F3" w:themeFill="accent1" w:themeFillTint="33"/>
            <w:vAlign w:val="center"/>
          </w:tcPr>
          <w:p w14:paraId="64E9F311"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849</w:t>
            </w:r>
          </w:p>
          <w:p w14:paraId="7E1EC43D"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100</w:t>
            </w:r>
          </w:p>
        </w:tc>
        <w:tc>
          <w:tcPr>
            <w:tcW w:w="1103" w:type="dxa"/>
            <w:tcBorders>
              <w:top w:val="single" w:sz="4" w:space="0" w:color="auto"/>
            </w:tcBorders>
            <w:shd w:val="clear" w:color="auto" w:fill="D9E2F3" w:themeFill="accent1" w:themeFillTint="33"/>
            <w:vAlign w:val="center"/>
          </w:tcPr>
          <w:p w14:paraId="7D5B5C08"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151</w:t>
            </w:r>
          </w:p>
          <w:p w14:paraId="34E6931F"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18</w:t>
            </w:r>
          </w:p>
        </w:tc>
        <w:tc>
          <w:tcPr>
            <w:tcW w:w="1282" w:type="dxa"/>
            <w:tcBorders>
              <w:top w:val="single" w:sz="4" w:space="0" w:color="auto"/>
            </w:tcBorders>
            <w:shd w:val="clear" w:color="auto" w:fill="D9E2F3" w:themeFill="accent1" w:themeFillTint="33"/>
            <w:vAlign w:val="center"/>
          </w:tcPr>
          <w:p w14:paraId="0CA6DB9D"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84</w:t>
            </w:r>
          </w:p>
          <w:p w14:paraId="7843D738"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w:t>
            </w:r>
          </w:p>
        </w:tc>
        <w:tc>
          <w:tcPr>
            <w:tcW w:w="1483" w:type="dxa"/>
            <w:tcBorders>
              <w:top w:val="single" w:sz="4" w:space="0" w:color="auto"/>
            </w:tcBorders>
            <w:shd w:val="clear" w:color="auto" w:fill="D9E2F3" w:themeFill="accent1" w:themeFillTint="33"/>
            <w:vAlign w:val="center"/>
          </w:tcPr>
          <w:p w14:paraId="5DA48098"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82</w:t>
            </w:r>
          </w:p>
          <w:p w14:paraId="0AE62DCD"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w:t>
            </w:r>
          </w:p>
        </w:tc>
        <w:tc>
          <w:tcPr>
            <w:tcW w:w="1405" w:type="dxa"/>
            <w:tcBorders>
              <w:top w:val="single" w:sz="4" w:space="0" w:color="auto"/>
            </w:tcBorders>
            <w:shd w:val="clear" w:color="auto" w:fill="D9E2F3" w:themeFill="accent1" w:themeFillTint="33"/>
            <w:vAlign w:val="center"/>
          </w:tcPr>
          <w:p w14:paraId="3B77B823"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533</w:t>
            </w:r>
          </w:p>
          <w:p w14:paraId="7ADFE610"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63</w:t>
            </w:r>
          </w:p>
        </w:tc>
      </w:tr>
      <w:tr w:rsidR="00BF478F" w:rsidRPr="00BE0606" w14:paraId="2C924211" w14:textId="77777777" w:rsidTr="00D033A3">
        <w:tc>
          <w:tcPr>
            <w:tcW w:w="1242" w:type="dxa"/>
          </w:tcPr>
          <w:p w14:paraId="15B159D3" w14:textId="77777777" w:rsidR="00BF478F" w:rsidRPr="00BE0606" w:rsidRDefault="00BF478F" w:rsidP="00F95505">
            <w:pPr>
              <w:jc w:val="both"/>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1- 2 ha</w:t>
            </w:r>
          </w:p>
        </w:tc>
        <w:tc>
          <w:tcPr>
            <w:tcW w:w="1370" w:type="dxa"/>
            <w:vAlign w:val="center"/>
          </w:tcPr>
          <w:p w14:paraId="4FCFC1CD"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Trung bình %</w:t>
            </w:r>
          </w:p>
        </w:tc>
        <w:tc>
          <w:tcPr>
            <w:tcW w:w="1297" w:type="dxa"/>
            <w:vAlign w:val="center"/>
          </w:tcPr>
          <w:p w14:paraId="704AC09E"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1165</w:t>
            </w:r>
          </w:p>
          <w:p w14:paraId="7ECC63DB"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100</w:t>
            </w:r>
          </w:p>
        </w:tc>
        <w:tc>
          <w:tcPr>
            <w:tcW w:w="1103" w:type="dxa"/>
            <w:vAlign w:val="center"/>
          </w:tcPr>
          <w:p w14:paraId="021FCF82"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284</w:t>
            </w:r>
          </w:p>
          <w:p w14:paraId="196866F3"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24</w:t>
            </w:r>
          </w:p>
        </w:tc>
        <w:tc>
          <w:tcPr>
            <w:tcW w:w="1282" w:type="dxa"/>
            <w:vAlign w:val="center"/>
          </w:tcPr>
          <w:p w14:paraId="55423F03"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72</w:t>
            </w:r>
          </w:p>
          <w:p w14:paraId="6978328D"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6</w:t>
            </w:r>
          </w:p>
        </w:tc>
        <w:tc>
          <w:tcPr>
            <w:tcW w:w="1483" w:type="dxa"/>
            <w:vAlign w:val="center"/>
          </w:tcPr>
          <w:p w14:paraId="43382A9B"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359</w:t>
            </w:r>
          </w:p>
          <w:p w14:paraId="5CC75EEA"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31</w:t>
            </w:r>
          </w:p>
        </w:tc>
        <w:tc>
          <w:tcPr>
            <w:tcW w:w="1405" w:type="dxa"/>
            <w:vAlign w:val="center"/>
          </w:tcPr>
          <w:p w14:paraId="67911258"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449</w:t>
            </w:r>
          </w:p>
          <w:p w14:paraId="4379A3EB"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39</w:t>
            </w:r>
          </w:p>
        </w:tc>
      </w:tr>
      <w:tr w:rsidR="00BF478F" w:rsidRPr="00BE0606" w14:paraId="2EA3DAA9" w14:textId="77777777" w:rsidTr="00D033A3">
        <w:tc>
          <w:tcPr>
            <w:tcW w:w="1242" w:type="dxa"/>
            <w:shd w:val="clear" w:color="auto" w:fill="D9E2F3" w:themeFill="accent1" w:themeFillTint="33"/>
          </w:tcPr>
          <w:p w14:paraId="01FD5BE6" w14:textId="77777777" w:rsidR="00BF478F" w:rsidRPr="00BE0606" w:rsidRDefault="00BF478F" w:rsidP="00F95505">
            <w:pPr>
              <w:jc w:val="both"/>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2.01 – 3 ha</w:t>
            </w:r>
          </w:p>
        </w:tc>
        <w:tc>
          <w:tcPr>
            <w:tcW w:w="1370" w:type="dxa"/>
            <w:shd w:val="clear" w:color="auto" w:fill="D9E2F3" w:themeFill="accent1" w:themeFillTint="33"/>
            <w:vAlign w:val="center"/>
          </w:tcPr>
          <w:p w14:paraId="6FBB323C"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Trung bình %</w:t>
            </w:r>
          </w:p>
        </w:tc>
        <w:tc>
          <w:tcPr>
            <w:tcW w:w="1297" w:type="dxa"/>
            <w:shd w:val="clear" w:color="auto" w:fill="D9E2F3" w:themeFill="accent1" w:themeFillTint="33"/>
            <w:vAlign w:val="center"/>
          </w:tcPr>
          <w:p w14:paraId="7B832407"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1901</w:t>
            </w:r>
          </w:p>
          <w:p w14:paraId="710A179A"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100</w:t>
            </w:r>
          </w:p>
        </w:tc>
        <w:tc>
          <w:tcPr>
            <w:tcW w:w="1103" w:type="dxa"/>
            <w:shd w:val="clear" w:color="auto" w:fill="D9E2F3" w:themeFill="accent1" w:themeFillTint="33"/>
            <w:vAlign w:val="center"/>
          </w:tcPr>
          <w:p w14:paraId="2B3860EA"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658</w:t>
            </w:r>
          </w:p>
          <w:p w14:paraId="2CEAAF20"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35</w:t>
            </w:r>
          </w:p>
        </w:tc>
        <w:tc>
          <w:tcPr>
            <w:tcW w:w="1282" w:type="dxa"/>
            <w:shd w:val="clear" w:color="auto" w:fill="D9E2F3" w:themeFill="accent1" w:themeFillTint="33"/>
            <w:vAlign w:val="center"/>
          </w:tcPr>
          <w:p w14:paraId="424D285B"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26</w:t>
            </w:r>
          </w:p>
          <w:p w14:paraId="2511FAB6"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w:t>
            </w:r>
          </w:p>
        </w:tc>
        <w:tc>
          <w:tcPr>
            <w:tcW w:w="1483" w:type="dxa"/>
            <w:shd w:val="clear" w:color="auto" w:fill="D9E2F3" w:themeFill="accent1" w:themeFillTint="33"/>
            <w:vAlign w:val="center"/>
          </w:tcPr>
          <w:p w14:paraId="3DCBCED1"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728</w:t>
            </w:r>
          </w:p>
          <w:p w14:paraId="4EC9F254"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38</w:t>
            </w:r>
          </w:p>
        </w:tc>
        <w:tc>
          <w:tcPr>
            <w:tcW w:w="1405" w:type="dxa"/>
            <w:shd w:val="clear" w:color="auto" w:fill="D9E2F3" w:themeFill="accent1" w:themeFillTint="33"/>
            <w:vAlign w:val="center"/>
          </w:tcPr>
          <w:p w14:paraId="34626884"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490</w:t>
            </w:r>
          </w:p>
          <w:p w14:paraId="3E506E4A"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26</w:t>
            </w:r>
          </w:p>
        </w:tc>
      </w:tr>
      <w:tr w:rsidR="00BF478F" w:rsidRPr="00BE0606" w14:paraId="107CB572" w14:textId="77777777" w:rsidTr="00D033A3">
        <w:tc>
          <w:tcPr>
            <w:tcW w:w="1242" w:type="dxa"/>
          </w:tcPr>
          <w:p w14:paraId="5F084DB3" w14:textId="77777777" w:rsidR="00BF478F" w:rsidRPr="00BE0606" w:rsidRDefault="00BF478F" w:rsidP="00F95505">
            <w:pPr>
              <w:jc w:val="both"/>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&gt;3 ha</w:t>
            </w:r>
          </w:p>
        </w:tc>
        <w:tc>
          <w:tcPr>
            <w:tcW w:w="1370" w:type="dxa"/>
            <w:vAlign w:val="center"/>
          </w:tcPr>
          <w:p w14:paraId="5C99B0BB"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Trung bình %</w:t>
            </w:r>
          </w:p>
        </w:tc>
        <w:tc>
          <w:tcPr>
            <w:tcW w:w="1297" w:type="dxa"/>
            <w:vAlign w:val="center"/>
          </w:tcPr>
          <w:p w14:paraId="0F1DD492"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1933</w:t>
            </w:r>
          </w:p>
          <w:p w14:paraId="0670A854"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100</w:t>
            </w:r>
          </w:p>
        </w:tc>
        <w:tc>
          <w:tcPr>
            <w:tcW w:w="1103" w:type="dxa"/>
            <w:vAlign w:val="center"/>
          </w:tcPr>
          <w:p w14:paraId="2AF65657"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1296</w:t>
            </w:r>
          </w:p>
          <w:p w14:paraId="475B0772"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67</w:t>
            </w:r>
          </w:p>
        </w:tc>
        <w:tc>
          <w:tcPr>
            <w:tcW w:w="1282" w:type="dxa"/>
            <w:vAlign w:val="center"/>
          </w:tcPr>
          <w:p w14:paraId="0A3970F7"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w:t>
            </w:r>
          </w:p>
          <w:p w14:paraId="58AF7152"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0</w:t>
            </w:r>
          </w:p>
        </w:tc>
        <w:tc>
          <w:tcPr>
            <w:tcW w:w="1483" w:type="dxa"/>
            <w:vAlign w:val="center"/>
          </w:tcPr>
          <w:p w14:paraId="5D9B3C77"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88</w:t>
            </w:r>
          </w:p>
          <w:p w14:paraId="276B8DBA"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5</w:t>
            </w:r>
          </w:p>
        </w:tc>
        <w:tc>
          <w:tcPr>
            <w:tcW w:w="1405" w:type="dxa"/>
            <w:vAlign w:val="center"/>
          </w:tcPr>
          <w:p w14:paraId="6428F302"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540</w:t>
            </w:r>
          </w:p>
          <w:p w14:paraId="11FF76C9"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28</w:t>
            </w:r>
          </w:p>
        </w:tc>
      </w:tr>
      <w:tr w:rsidR="00BF478F" w:rsidRPr="00BE0606" w14:paraId="77A444C6" w14:textId="77777777" w:rsidTr="00D033A3">
        <w:tc>
          <w:tcPr>
            <w:tcW w:w="1242" w:type="dxa"/>
            <w:tcBorders>
              <w:bottom w:val="single" w:sz="4" w:space="0" w:color="auto"/>
            </w:tcBorders>
            <w:shd w:val="clear" w:color="auto" w:fill="D9E2F3" w:themeFill="accent1" w:themeFillTint="33"/>
          </w:tcPr>
          <w:p w14:paraId="1B498147" w14:textId="77777777" w:rsidR="00BF478F" w:rsidRPr="00BE0606" w:rsidRDefault="00BF478F" w:rsidP="00F95505">
            <w:pPr>
              <w:jc w:val="both"/>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Tổng</w:t>
            </w:r>
          </w:p>
        </w:tc>
        <w:tc>
          <w:tcPr>
            <w:tcW w:w="1370" w:type="dxa"/>
            <w:tcBorders>
              <w:bottom w:val="single" w:sz="4" w:space="0" w:color="auto"/>
            </w:tcBorders>
            <w:shd w:val="clear" w:color="auto" w:fill="D9E2F3" w:themeFill="accent1" w:themeFillTint="33"/>
            <w:vAlign w:val="center"/>
          </w:tcPr>
          <w:p w14:paraId="6DF1305F"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Trung bình %</w:t>
            </w:r>
          </w:p>
        </w:tc>
        <w:tc>
          <w:tcPr>
            <w:tcW w:w="1297" w:type="dxa"/>
            <w:tcBorders>
              <w:bottom w:val="single" w:sz="4" w:space="0" w:color="auto"/>
            </w:tcBorders>
            <w:shd w:val="clear" w:color="auto" w:fill="D9E2F3" w:themeFill="accent1" w:themeFillTint="33"/>
            <w:vAlign w:val="center"/>
          </w:tcPr>
          <w:p w14:paraId="58D99376"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1312</w:t>
            </w:r>
          </w:p>
          <w:p w14:paraId="2DFB05E3"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100</w:t>
            </w:r>
          </w:p>
        </w:tc>
        <w:tc>
          <w:tcPr>
            <w:tcW w:w="1103" w:type="dxa"/>
            <w:tcBorders>
              <w:bottom w:val="single" w:sz="4" w:space="0" w:color="auto"/>
            </w:tcBorders>
            <w:shd w:val="clear" w:color="auto" w:fill="D9E2F3" w:themeFill="accent1" w:themeFillTint="33"/>
            <w:vAlign w:val="center"/>
          </w:tcPr>
          <w:p w14:paraId="121D9E26"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535</w:t>
            </w:r>
          </w:p>
          <w:p w14:paraId="1548D2A0"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41</w:t>
            </w:r>
          </w:p>
        </w:tc>
        <w:tc>
          <w:tcPr>
            <w:tcW w:w="1282" w:type="dxa"/>
            <w:tcBorders>
              <w:bottom w:val="single" w:sz="4" w:space="0" w:color="auto"/>
            </w:tcBorders>
            <w:shd w:val="clear" w:color="auto" w:fill="D9E2F3" w:themeFill="accent1" w:themeFillTint="33"/>
            <w:vAlign w:val="center"/>
          </w:tcPr>
          <w:p w14:paraId="25C50E28"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56</w:t>
            </w:r>
          </w:p>
          <w:p w14:paraId="13BCD9B1"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4</w:t>
            </w:r>
          </w:p>
        </w:tc>
        <w:tc>
          <w:tcPr>
            <w:tcW w:w="1483" w:type="dxa"/>
            <w:tcBorders>
              <w:bottom w:val="single" w:sz="4" w:space="0" w:color="auto"/>
            </w:tcBorders>
            <w:shd w:val="clear" w:color="auto" w:fill="D9E2F3" w:themeFill="accent1" w:themeFillTint="33"/>
            <w:vAlign w:val="center"/>
          </w:tcPr>
          <w:p w14:paraId="4EF827E0"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209</w:t>
            </w:r>
          </w:p>
          <w:p w14:paraId="211EAEA5"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16</w:t>
            </w:r>
          </w:p>
        </w:tc>
        <w:tc>
          <w:tcPr>
            <w:tcW w:w="1405" w:type="dxa"/>
            <w:tcBorders>
              <w:bottom w:val="single" w:sz="4" w:space="0" w:color="auto"/>
            </w:tcBorders>
            <w:shd w:val="clear" w:color="auto" w:fill="D9E2F3" w:themeFill="accent1" w:themeFillTint="33"/>
            <w:vAlign w:val="center"/>
          </w:tcPr>
          <w:p w14:paraId="311EA37E"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512</w:t>
            </w:r>
          </w:p>
          <w:p w14:paraId="7F72F169" w14:textId="77777777" w:rsidR="00BF478F" w:rsidRPr="00BE0606" w:rsidRDefault="00BF478F" w:rsidP="00F95505">
            <w:pPr>
              <w:jc w:val="center"/>
              <w:rPr>
                <w:rFonts w:ascii="Times New Roman" w:hAnsi="Times New Roman" w:cs="Times New Roman"/>
                <w:color w:val="000000" w:themeColor="text1"/>
                <w:sz w:val="22"/>
                <w:szCs w:val="22"/>
              </w:rPr>
            </w:pPr>
            <w:r w:rsidRPr="00BE0606">
              <w:rPr>
                <w:rFonts w:ascii="Times New Roman" w:hAnsi="Times New Roman" w:cs="Times New Roman"/>
                <w:color w:val="000000" w:themeColor="text1"/>
                <w:sz w:val="22"/>
                <w:szCs w:val="22"/>
              </w:rPr>
              <w:t>39</w:t>
            </w:r>
          </w:p>
        </w:tc>
      </w:tr>
    </w:tbl>
    <w:p w14:paraId="3EF24C07" w14:textId="01DA27DC" w:rsidR="00BF478F" w:rsidRPr="00F95505" w:rsidRDefault="00BF478F" w:rsidP="00F95505">
      <w:pPr>
        <w:spacing w:line="480" w:lineRule="auto"/>
        <w:ind w:firstLine="567"/>
        <w:jc w:val="both"/>
        <w:rPr>
          <w:rFonts w:ascii="Times New Roman" w:hAnsi="Times New Roman" w:cs="Times New Roman"/>
          <w:color w:val="000000" w:themeColor="text1"/>
          <w:sz w:val="20"/>
          <w:szCs w:val="20"/>
        </w:rPr>
      </w:pPr>
      <w:r w:rsidRPr="00015FBB">
        <w:rPr>
          <w:rFonts w:ascii="Times New Roman" w:hAnsi="Times New Roman" w:cs="Times New Roman"/>
          <w:color w:val="000000" w:themeColor="text1"/>
          <w:sz w:val="20"/>
          <w:szCs w:val="20"/>
        </w:rPr>
        <w:t>Nguồ</w:t>
      </w:r>
      <w:r w:rsidR="005C0E32">
        <w:rPr>
          <w:rFonts w:ascii="Times New Roman" w:hAnsi="Times New Roman" w:cs="Times New Roman"/>
          <w:color w:val="000000" w:themeColor="text1"/>
          <w:sz w:val="20"/>
          <w:szCs w:val="20"/>
        </w:rPr>
        <w:t>n:</w:t>
      </w:r>
      <w:r w:rsidR="001D65D9">
        <w:rPr>
          <w:rFonts w:ascii="Times New Roman" w:hAnsi="Times New Roman" w:cs="Times New Roman"/>
          <w:color w:val="000000" w:themeColor="text1"/>
          <w:sz w:val="20"/>
          <w:szCs w:val="20"/>
        </w:rPr>
        <w:t xml:space="preserve"> [7</w:t>
      </w:r>
      <w:r w:rsidR="00F10220">
        <w:rPr>
          <w:rFonts w:ascii="Times New Roman" w:hAnsi="Times New Roman" w:cs="Times New Roman"/>
          <w:color w:val="000000" w:themeColor="text1"/>
          <w:sz w:val="20"/>
          <w:szCs w:val="20"/>
        </w:rPr>
        <w:t>]</w:t>
      </w:r>
    </w:p>
    <w:p w14:paraId="1FA53CD6" w14:textId="3E274635" w:rsidR="00EC7BC2" w:rsidRPr="00BF478F" w:rsidRDefault="0037705A" w:rsidP="00FC617C">
      <w:pPr>
        <w:pStyle w:val="HTMLPreformatted"/>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lastRenderedPageBreak/>
        <w:t>Vấn đề</w:t>
      </w:r>
      <w:r w:rsidR="00EC7BC2" w:rsidRPr="005E5122">
        <w:rPr>
          <w:rFonts w:ascii="Times New Roman" w:hAnsi="Times New Roman" w:cs="Times New Roman"/>
          <w:color w:val="000000" w:themeColor="text1"/>
          <w:sz w:val="24"/>
          <w:szCs w:val="24"/>
          <w:lang w:val="vi-VN"/>
        </w:rPr>
        <w:t xml:space="preserve"> gia tăng tỷ lệ chi phí lao độ</w:t>
      </w:r>
      <w:r w:rsidR="00BF3BCD">
        <w:rPr>
          <w:rFonts w:ascii="Times New Roman" w:hAnsi="Times New Roman" w:cs="Times New Roman"/>
          <w:color w:val="000000" w:themeColor="text1"/>
          <w:sz w:val="24"/>
          <w:szCs w:val="24"/>
          <w:lang w:val="vi-VN"/>
        </w:rPr>
        <w:t>ng làm thuê</w:t>
      </w:r>
      <w:r w:rsidR="00EC7BC2" w:rsidRPr="005E5122">
        <w:rPr>
          <w:rFonts w:ascii="Times New Roman" w:hAnsi="Times New Roman" w:cs="Times New Roman"/>
          <w:color w:val="000000" w:themeColor="text1"/>
          <w:sz w:val="24"/>
          <w:szCs w:val="24"/>
          <w:lang w:val="vi-VN"/>
        </w:rPr>
        <w:t xml:space="preserve"> là một trong những thách thức đối với nông dân trồng lúa khi mức lương ở nông thôn tăng lên và các trang trại </w:t>
      </w:r>
      <w:r w:rsidR="00BF3BCD">
        <w:rPr>
          <w:rFonts w:ascii="Times New Roman" w:hAnsi="Times New Roman" w:cs="Times New Roman"/>
          <w:color w:val="000000" w:themeColor="text1"/>
          <w:sz w:val="24"/>
          <w:szCs w:val="24"/>
          <w:lang w:val="vi-VN"/>
        </w:rPr>
        <w:t xml:space="preserve">quy mô </w:t>
      </w:r>
      <w:r w:rsidR="00EC7BC2" w:rsidRPr="005E5122">
        <w:rPr>
          <w:rFonts w:ascii="Times New Roman" w:hAnsi="Times New Roman" w:cs="Times New Roman"/>
          <w:color w:val="000000" w:themeColor="text1"/>
          <w:sz w:val="24"/>
          <w:szCs w:val="24"/>
          <w:lang w:val="vi-VN"/>
        </w:rPr>
        <w:t>nhỏ</w:t>
      </w:r>
      <w:r w:rsidR="00BF3BCD">
        <w:rPr>
          <w:rFonts w:ascii="Times New Roman" w:hAnsi="Times New Roman" w:cs="Times New Roman"/>
          <w:color w:val="000000" w:themeColor="text1"/>
          <w:sz w:val="24"/>
          <w:szCs w:val="24"/>
          <w:lang w:val="vi-VN"/>
        </w:rPr>
        <w:t xml:space="preserve"> gặp khó khăn về tài chính dẫn tới hiện tượng bỏ ruộng. Trong những năm gần đây</w:t>
      </w:r>
      <w:r w:rsidR="00EC7BC2" w:rsidRPr="005E5122">
        <w:rPr>
          <w:rFonts w:ascii="Times New Roman" w:hAnsi="Times New Roman" w:cs="Times New Roman"/>
          <w:color w:val="000000" w:themeColor="text1"/>
          <w:sz w:val="24"/>
          <w:szCs w:val="24"/>
          <w:lang w:val="vi-VN"/>
        </w:rPr>
        <w:t xml:space="preserve">, có xu hướng bỏ ruộng, đặc biệt là ở những trang trại </w:t>
      </w:r>
      <w:r w:rsidR="00BF3BCD">
        <w:rPr>
          <w:rFonts w:ascii="Times New Roman" w:hAnsi="Times New Roman" w:cs="Times New Roman"/>
          <w:color w:val="000000" w:themeColor="text1"/>
          <w:sz w:val="24"/>
          <w:szCs w:val="24"/>
          <w:lang w:val="vi-VN"/>
        </w:rPr>
        <w:t xml:space="preserve">sản xuất quy mô </w:t>
      </w:r>
      <w:r w:rsidR="00EC7BC2" w:rsidRPr="005E5122">
        <w:rPr>
          <w:rFonts w:ascii="Times New Roman" w:hAnsi="Times New Roman" w:cs="Times New Roman"/>
          <w:color w:val="000000" w:themeColor="text1"/>
          <w:sz w:val="24"/>
          <w:szCs w:val="24"/>
          <w:lang w:val="vi-VN"/>
        </w:rPr>
        <w:t>nhỏ</w:t>
      </w:r>
      <w:r w:rsidR="00BF3BCD">
        <w:rPr>
          <w:rFonts w:ascii="Times New Roman" w:hAnsi="Times New Roman" w:cs="Times New Roman"/>
          <w:color w:val="000000" w:themeColor="text1"/>
          <w:sz w:val="24"/>
          <w:szCs w:val="24"/>
          <w:lang w:val="vi-VN"/>
        </w:rPr>
        <w:t xml:space="preserve"> có xu hướng gia tăng</w:t>
      </w:r>
      <w:r w:rsidR="00EC7BC2" w:rsidRPr="005E5122">
        <w:rPr>
          <w:rStyle w:val="FootnoteReference"/>
          <w:rFonts w:ascii="Times New Roman" w:hAnsi="Times New Roman" w:cs="Times New Roman"/>
          <w:color w:val="000000" w:themeColor="text1"/>
          <w:spacing w:val="-2"/>
          <w:sz w:val="24"/>
          <w:szCs w:val="24"/>
        </w:rPr>
        <w:footnoteReference w:id="3"/>
      </w:r>
      <w:r w:rsidR="00EC7BC2" w:rsidRPr="005E5122">
        <w:rPr>
          <w:rFonts w:ascii="Times New Roman" w:hAnsi="Times New Roman" w:cs="Times New Roman"/>
          <w:color w:val="000000" w:themeColor="text1"/>
          <w:sz w:val="24"/>
          <w:szCs w:val="24"/>
          <w:lang w:val="vi-VN"/>
        </w:rPr>
        <w:t>. Vấn đề này</w:t>
      </w:r>
      <w:r w:rsidR="00C54CDB">
        <w:rPr>
          <w:rFonts w:ascii="Times New Roman" w:hAnsi="Times New Roman" w:cs="Times New Roman"/>
          <w:color w:val="000000" w:themeColor="text1"/>
          <w:sz w:val="24"/>
          <w:szCs w:val="24"/>
          <w:lang w:val="vi-VN"/>
        </w:rPr>
        <w:t xml:space="preserve"> đang là thách thức của chính phủ khi</w:t>
      </w:r>
      <w:r w:rsidR="00EC7BC2" w:rsidRPr="005E5122">
        <w:rPr>
          <w:rFonts w:ascii="Times New Roman" w:hAnsi="Times New Roman" w:cs="Times New Roman"/>
          <w:color w:val="000000" w:themeColor="text1"/>
          <w:sz w:val="24"/>
          <w:szCs w:val="24"/>
          <w:lang w:val="vi-VN"/>
        </w:rPr>
        <w:t xml:space="preserve"> đe dọa</w:t>
      </w:r>
      <w:r w:rsidR="00C54CDB">
        <w:rPr>
          <w:rFonts w:ascii="Times New Roman" w:hAnsi="Times New Roman" w:cs="Times New Roman"/>
          <w:color w:val="000000" w:themeColor="text1"/>
          <w:sz w:val="24"/>
          <w:szCs w:val="24"/>
          <w:lang w:val="vi-VN"/>
        </w:rPr>
        <w:t xml:space="preserve"> trực tiếp đến</w:t>
      </w:r>
      <w:r w:rsidR="00EC7BC2" w:rsidRPr="005E5122">
        <w:rPr>
          <w:rFonts w:ascii="Times New Roman" w:hAnsi="Times New Roman" w:cs="Times New Roman"/>
          <w:color w:val="000000" w:themeColor="text1"/>
          <w:sz w:val="24"/>
          <w:szCs w:val="24"/>
          <w:lang w:val="vi-VN"/>
        </w:rPr>
        <w:t xml:space="preserve"> an ninh lương thực quố</w:t>
      </w:r>
      <w:r w:rsidR="00ED473C">
        <w:rPr>
          <w:rFonts w:ascii="Times New Roman" w:hAnsi="Times New Roman" w:cs="Times New Roman"/>
          <w:color w:val="000000" w:themeColor="text1"/>
          <w:sz w:val="24"/>
          <w:szCs w:val="24"/>
          <w:lang w:val="vi-VN"/>
        </w:rPr>
        <w:t>c gia.</w:t>
      </w:r>
      <w:r w:rsidR="001D65D9">
        <w:rPr>
          <w:rFonts w:ascii="Times New Roman" w:hAnsi="Times New Roman" w:cs="Times New Roman"/>
          <w:color w:val="000000" w:themeColor="text1"/>
          <w:sz w:val="24"/>
          <w:szCs w:val="24"/>
          <w:lang w:val="vi-VN"/>
        </w:rPr>
        <w:t xml:space="preserve"> [8</w:t>
      </w:r>
      <w:r w:rsidR="00F10220">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giải thích rằ</w:t>
      </w:r>
      <w:r w:rsidR="00C54CDB">
        <w:rPr>
          <w:rFonts w:ascii="Times New Roman" w:hAnsi="Times New Roman" w:cs="Times New Roman"/>
          <w:color w:val="000000" w:themeColor="text1"/>
          <w:sz w:val="24"/>
          <w:szCs w:val="24"/>
          <w:lang w:val="vi-VN"/>
        </w:rPr>
        <w:t>ng tình trạng bỏ ruộng</w:t>
      </w:r>
      <w:r w:rsidR="00EC7BC2" w:rsidRPr="005E5122">
        <w:rPr>
          <w:rFonts w:ascii="Times New Roman" w:hAnsi="Times New Roman" w:cs="Times New Roman"/>
          <w:color w:val="000000" w:themeColor="text1"/>
          <w:sz w:val="24"/>
          <w:szCs w:val="24"/>
          <w:lang w:val="vi-VN"/>
        </w:rPr>
        <w:t xml:space="preserve"> là do chi phí đăng ký chuyển nhượng cao và lợi nhuận thấp trong sản xuất nông nghiệp. Cho đế</w:t>
      </w:r>
      <w:r w:rsidR="00C54CDB">
        <w:rPr>
          <w:rFonts w:ascii="Times New Roman" w:hAnsi="Times New Roman" w:cs="Times New Roman"/>
          <w:color w:val="000000" w:themeColor="text1"/>
          <w:sz w:val="24"/>
          <w:szCs w:val="24"/>
          <w:lang w:val="vi-VN"/>
        </w:rPr>
        <w:t>n nay, chưa</w:t>
      </w:r>
      <w:r w:rsidR="00EC7BC2" w:rsidRPr="005E5122">
        <w:rPr>
          <w:rFonts w:ascii="Times New Roman" w:hAnsi="Times New Roman" w:cs="Times New Roman"/>
          <w:color w:val="000000" w:themeColor="text1"/>
          <w:sz w:val="24"/>
          <w:szCs w:val="24"/>
          <w:lang w:val="vi-VN"/>
        </w:rPr>
        <w:t xml:space="preserve"> có nghiên cứu về xu hướ</w:t>
      </w:r>
      <w:r w:rsidR="00C54CDB">
        <w:rPr>
          <w:rFonts w:ascii="Times New Roman" w:hAnsi="Times New Roman" w:cs="Times New Roman"/>
          <w:color w:val="000000" w:themeColor="text1"/>
          <w:sz w:val="24"/>
          <w:szCs w:val="24"/>
          <w:lang w:val="vi-VN"/>
        </w:rPr>
        <w:t>ng nông dân bỏ ruộng ở Việt Nam. T</w:t>
      </w:r>
      <w:r w:rsidR="00754AB5">
        <w:rPr>
          <w:rFonts w:ascii="Times New Roman" w:hAnsi="Times New Roman" w:cs="Times New Roman"/>
          <w:color w:val="000000" w:themeColor="text1"/>
          <w:sz w:val="24"/>
          <w:szCs w:val="24"/>
          <w:lang w:val="vi-VN"/>
        </w:rPr>
        <w:t>heo nghiên cứu về sản xuất nông nghiệp của các nước trong khu vực Đông Á củ</w:t>
      </w:r>
      <w:r w:rsidR="00ED473C">
        <w:rPr>
          <w:rFonts w:ascii="Times New Roman" w:hAnsi="Times New Roman" w:cs="Times New Roman"/>
          <w:color w:val="000000" w:themeColor="text1"/>
          <w:sz w:val="24"/>
          <w:szCs w:val="24"/>
          <w:lang w:val="vi-VN"/>
        </w:rPr>
        <w:t xml:space="preserve">a </w:t>
      </w:r>
      <w:r w:rsidR="001D65D9">
        <w:rPr>
          <w:rFonts w:ascii="Times New Roman" w:hAnsi="Times New Roman" w:cs="Times New Roman"/>
          <w:color w:val="000000" w:themeColor="text1"/>
          <w:sz w:val="24"/>
          <w:szCs w:val="24"/>
          <w:lang w:val="vi-VN"/>
        </w:rPr>
        <w:t>[9</w:t>
      </w:r>
      <w:r w:rsidR="00F10220">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cho thấy</w:t>
      </w:r>
      <w:r w:rsidR="00754AB5">
        <w:rPr>
          <w:rFonts w:ascii="Times New Roman" w:hAnsi="Times New Roman" w:cs="Times New Roman"/>
          <w:color w:val="000000" w:themeColor="text1"/>
          <w:sz w:val="24"/>
          <w:szCs w:val="24"/>
          <w:lang w:val="vi-VN"/>
        </w:rPr>
        <w:t>,</w:t>
      </w:r>
      <w:r w:rsidR="00EC7BC2" w:rsidRPr="005E5122">
        <w:rPr>
          <w:rFonts w:ascii="Times New Roman" w:hAnsi="Times New Roman" w:cs="Times New Roman"/>
          <w:color w:val="000000" w:themeColor="text1"/>
          <w:sz w:val="24"/>
          <w:szCs w:val="24"/>
          <w:lang w:val="vi-VN"/>
        </w:rPr>
        <w:t xml:space="preserve"> lợi thế so sánh của nông nghiệp ở các nướ</w:t>
      </w:r>
      <w:r w:rsidR="00C91E87">
        <w:rPr>
          <w:rFonts w:ascii="Times New Roman" w:hAnsi="Times New Roman" w:cs="Times New Roman"/>
          <w:color w:val="000000" w:themeColor="text1"/>
          <w:sz w:val="24"/>
          <w:szCs w:val="24"/>
          <w:lang w:val="vi-VN"/>
        </w:rPr>
        <w:t>c Đông Á</w:t>
      </w:r>
      <w:r w:rsidR="00EC7BC2" w:rsidRPr="005E5122">
        <w:rPr>
          <w:rFonts w:ascii="Times New Roman" w:hAnsi="Times New Roman" w:cs="Times New Roman"/>
          <w:color w:val="000000" w:themeColor="text1"/>
          <w:sz w:val="24"/>
          <w:szCs w:val="24"/>
          <w:lang w:val="vi-VN"/>
        </w:rPr>
        <w:t xml:space="preserve"> mất đi do sự gia tăng nhanh chóng của tiền lương ở </w:t>
      </w:r>
      <w:r w:rsidR="00754AB5">
        <w:rPr>
          <w:rFonts w:ascii="Times New Roman" w:hAnsi="Times New Roman" w:cs="Times New Roman"/>
          <w:color w:val="000000" w:themeColor="text1"/>
          <w:sz w:val="24"/>
          <w:szCs w:val="24"/>
          <w:lang w:val="vi-VN"/>
        </w:rPr>
        <w:t xml:space="preserve">khu vực </w:t>
      </w:r>
      <w:r w:rsidR="00C91E87">
        <w:rPr>
          <w:rFonts w:ascii="Times New Roman" w:hAnsi="Times New Roman" w:cs="Times New Roman"/>
          <w:color w:val="000000" w:themeColor="text1"/>
          <w:sz w:val="24"/>
          <w:szCs w:val="24"/>
          <w:lang w:val="vi-VN"/>
        </w:rPr>
        <w:t>nông thôn trong quá trình chuyển dịch cơ cấu kinh tế</w:t>
      </w:r>
      <w:r w:rsidR="00EC7BC2" w:rsidRPr="005E5122">
        <w:rPr>
          <w:rFonts w:ascii="Times New Roman" w:hAnsi="Times New Roman" w:cs="Times New Roman"/>
          <w:color w:val="000000" w:themeColor="text1"/>
          <w:sz w:val="24"/>
          <w:szCs w:val="24"/>
          <w:lang w:val="vi-VN"/>
        </w:rPr>
        <w:t>. Trong trường hợp của Việ</w:t>
      </w:r>
      <w:r w:rsidR="00ED473C">
        <w:rPr>
          <w:rFonts w:ascii="Times New Roman" w:hAnsi="Times New Roman" w:cs="Times New Roman"/>
          <w:color w:val="000000" w:themeColor="text1"/>
          <w:sz w:val="24"/>
          <w:szCs w:val="24"/>
          <w:lang w:val="vi-VN"/>
        </w:rPr>
        <w:t xml:space="preserve">t Nam, </w:t>
      </w:r>
      <w:r w:rsidR="001D65D9">
        <w:rPr>
          <w:rFonts w:ascii="Times New Roman" w:hAnsi="Times New Roman" w:cs="Times New Roman"/>
          <w:color w:val="000000" w:themeColor="text1"/>
          <w:sz w:val="24"/>
          <w:szCs w:val="24"/>
          <w:lang w:val="vi-VN"/>
        </w:rPr>
        <w:t>[10</w:t>
      </w:r>
      <w:r w:rsidR="00F10220">
        <w:rPr>
          <w:rFonts w:ascii="Times New Roman" w:hAnsi="Times New Roman" w:cs="Times New Roman"/>
          <w:color w:val="000000" w:themeColor="text1"/>
          <w:sz w:val="24"/>
          <w:szCs w:val="24"/>
          <w:lang w:val="vi-VN"/>
        </w:rPr>
        <w:t>]</w:t>
      </w:r>
      <w:r w:rsidR="005C0E32">
        <w:rPr>
          <w:rFonts w:ascii="Times New Roman" w:hAnsi="Times New Roman" w:cs="Times New Roman"/>
          <w:color w:val="000000" w:themeColor="text1"/>
          <w:sz w:val="24"/>
          <w:szCs w:val="24"/>
          <w:lang w:val="vi-VN"/>
        </w:rPr>
        <w:t xml:space="preserve"> </w:t>
      </w:r>
      <w:r w:rsidR="00EC7BC2" w:rsidRPr="005E5122">
        <w:rPr>
          <w:rFonts w:ascii="Times New Roman" w:hAnsi="Times New Roman" w:cs="Times New Roman"/>
          <w:color w:val="000000" w:themeColor="text1"/>
          <w:sz w:val="24"/>
          <w:szCs w:val="24"/>
          <w:lang w:val="vi-VN"/>
        </w:rPr>
        <w:t>cho thấy</w:t>
      </w:r>
      <w:r w:rsidR="00D54317">
        <w:rPr>
          <w:rFonts w:ascii="Times New Roman" w:hAnsi="Times New Roman" w:cs="Times New Roman"/>
          <w:color w:val="000000" w:themeColor="text1"/>
          <w:sz w:val="24"/>
          <w:szCs w:val="24"/>
          <w:lang w:val="vi-VN"/>
        </w:rPr>
        <w:t xml:space="preserve">, mức lương </w:t>
      </w:r>
      <w:r w:rsidR="00EC7BC2" w:rsidRPr="005E5122">
        <w:rPr>
          <w:rFonts w:ascii="Times New Roman" w:hAnsi="Times New Roman" w:cs="Times New Roman"/>
          <w:color w:val="000000" w:themeColor="text1"/>
          <w:sz w:val="24"/>
          <w:szCs w:val="24"/>
          <w:lang w:val="vi-VN"/>
        </w:rPr>
        <w:t>ở nông thôn</w:t>
      </w:r>
      <w:r w:rsidR="00754AB5">
        <w:rPr>
          <w:rFonts w:ascii="Times New Roman" w:hAnsi="Times New Roman" w:cs="Times New Roman"/>
          <w:color w:val="000000" w:themeColor="text1"/>
          <w:sz w:val="24"/>
          <w:szCs w:val="24"/>
          <w:lang w:val="vi-VN"/>
        </w:rPr>
        <w:t xml:space="preserve"> đã</w:t>
      </w:r>
      <w:r w:rsidR="00EC7BC2" w:rsidRPr="005E5122">
        <w:rPr>
          <w:rFonts w:ascii="Times New Roman" w:hAnsi="Times New Roman" w:cs="Times New Roman"/>
          <w:color w:val="000000" w:themeColor="text1"/>
          <w:sz w:val="24"/>
          <w:szCs w:val="24"/>
          <w:lang w:val="vi-VN"/>
        </w:rPr>
        <w:t xml:space="preserve"> tăng 55,37% trong giai đoạn 2005-2012. Do đó, việc sử dụng nhiều lao động sẽ trở nên rất tố</w:t>
      </w:r>
      <w:r w:rsidR="00754AB5">
        <w:rPr>
          <w:rFonts w:ascii="Times New Roman" w:hAnsi="Times New Roman" w:cs="Times New Roman"/>
          <w:color w:val="000000" w:themeColor="text1"/>
          <w:sz w:val="24"/>
          <w:szCs w:val="24"/>
          <w:lang w:val="vi-VN"/>
        </w:rPr>
        <w:t>n kém trong bối cảnh chuyển dịch cơ cấu đang diễn ra nhanh chóng ở Việt Nam.</w:t>
      </w:r>
    </w:p>
    <w:p w14:paraId="5AD41842" w14:textId="57767658" w:rsidR="004A3DF2" w:rsidRPr="005E5122" w:rsidRDefault="002D7AEB" w:rsidP="00FC617C">
      <w:pPr>
        <w:pStyle w:val="HTMLPreformatted"/>
        <w:spacing w:line="480" w:lineRule="auto"/>
        <w:ind w:firstLine="567"/>
        <w:jc w:val="both"/>
        <w:rPr>
          <w:rFonts w:ascii="Times New Roman" w:hAnsi="Times New Roman" w:cs="Times New Roman"/>
          <w:b/>
          <w:color w:val="000000" w:themeColor="text1"/>
          <w:sz w:val="24"/>
          <w:szCs w:val="24"/>
          <w:lang w:val="vi-VN"/>
        </w:rPr>
      </w:pPr>
      <w:r>
        <w:rPr>
          <w:rFonts w:ascii="Times New Roman" w:hAnsi="Times New Roman" w:cs="Times New Roman"/>
          <w:b/>
          <w:color w:val="000000" w:themeColor="text1"/>
          <w:sz w:val="24"/>
          <w:szCs w:val="24"/>
          <w:lang w:val="vi-VN"/>
        </w:rPr>
        <w:t>2</w:t>
      </w:r>
      <w:r w:rsidR="004A3DF2" w:rsidRPr="005E5122">
        <w:rPr>
          <w:rFonts w:ascii="Times New Roman" w:hAnsi="Times New Roman" w:cs="Times New Roman"/>
          <w:b/>
          <w:color w:val="000000" w:themeColor="text1"/>
          <w:sz w:val="24"/>
          <w:szCs w:val="24"/>
          <w:lang w:val="vi-VN"/>
        </w:rPr>
        <w:t>. Xu hướng đa dạng hóa cây trồng ở Việt Nam</w:t>
      </w:r>
    </w:p>
    <w:p w14:paraId="3D2894D8" w14:textId="3754F6E0" w:rsidR="00A76CC1" w:rsidRPr="005E5122" w:rsidRDefault="00A76CC1"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E5122">
        <w:rPr>
          <w:rFonts w:ascii="Times New Roman" w:hAnsi="Times New Roman" w:cs="Times New Roman"/>
          <w:color w:val="000000" w:themeColor="text1"/>
          <w:sz w:val="24"/>
          <w:szCs w:val="24"/>
          <w:lang w:val="vi-VN"/>
        </w:rPr>
        <w:t>Trong khi chiến lược phát triển nông nghiệp và nông thôn (2011-2020) do chính phủ đưa ra trong năm 2009, đã đặt ra các mục tiêu cụ thể nhằm sản xuất lương thực tự cung tự cấp cùng với việc tăng cường sản xuất các cây trồng có giá trị dinh dưỡng khác khác cũng như khuyến khích xuất khẩu rau quả và cây trồng hàng năm, giữ được sự hồi phục của hệ thống nông nghiệ</w:t>
      </w:r>
      <w:r w:rsidR="00ED473C">
        <w:rPr>
          <w:rFonts w:ascii="Times New Roman" w:hAnsi="Times New Roman" w:cs="Times New Roman"/>
          <w:color w:val="000000" w:themeColor="text1"/>
          <w:sz w:val="24"/>
          <w:szCs w:val="24"/>
          <w:lang w:val="vi-VN"/>
        </w:rPr>
        <w:t xml:space="preserve">p </w:t>
      </w:r>
      <w:r w:rsidR="001D65D9">
        <w:rPr>
          <w:rFonts w:ascii="Times New Roman" w:hAnsi="Times New Roman" w:cs="Times New Roman"/>
          <w:color w:val="000000" w:themeColor="text1"/>
          <w:sz w:val="24"/>
          <w:szCs w:val="24"/>
          <w:lang w:val="vi-VN"/>
        </w:rPr>
        <w:t>[11</w:t>
      </w:r>
      <w:r w:rsidR="00F10220">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việc chuyển đổi diện tích đất nông nghiệp không trồng lúa và các vụ mùa khác là trái với chính sách về đất đai hiện nay. Mặc dù sản xuất lúa gạo chiếm 65% diện tích đấ</w:t>
      </w:r>
      <w:r w:rsidR="00ED473C">
        <w:rPr>
          <w:rFonts w:ascii="Times New Roman" w:hAnsi="Times New Roman" w:cs="Times New Roman"/>
          <w:color w:val="000000" w:themeColor="text1"/>
          <w:sz w:val="24"/>
          <w:szCs w:val="24"/>
          <w:lang w:val="vi-VN"/>
        </w:rPr>
        <w:t>t canh tác hàng năm</w:t>
      </w:r>
      <w:r w:rsidR="001D65D9">
        <w:rPr>
          <w:rFonts w:ascii="Times New Roman" w:hAnsi="Times New Roman" w:cs="Times New Roman"/>
          <w:color w:val="000000" w:themeColor="text1"/>
          <w:sz w:val="24"/>
          <w:szCs w:val="24"/>
          <w:lang w:val="vi-VN"/>
        </w:rPr>
        <w:t xml:space="preserve"> [1</w:t>
      </w:r>
      <w:r w:rsidR="00F10220">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nhưng có nhiều nông dân trồng lúa đang trồng các cây hàng năm khác bên cạ</w:t>
      </w:r>
      <w:r w:rsidR="00CD2761">
        <w:rPr>
          <w:rFonts w:ascii="Times New Roman" w:hAnsi="Times New Roman" w:cs="Times New Roman"/>
          <w:color w:val="000000" w:themeColor="text1"/>
          <w:sz w:val="24"/>
          <w:szCs w:val="24"/>
          <w:lang w:val="vi-VN"/>
        </w:rPr>
        <w:t>nh cây lúa</w:t>
      </w:r>
      <w:r w:rsidRPr="005E5122">
        <w:rPr>
          <w:rFonts w:ascii="Times New Roman" w:hAnsi="Times New Roman" w:cs="Times New Roman"/>
          <w:color w:val="000000" w:themeColor="text1"/>
          <w:sz w:val="24"/>
          <w:szCs w:val="24"/>
          <w:lang w:val="vi-VN"/>
        </w:rPr>
        <w:t>. Các hộ nông dân quy mô nhỏ đã có những điều chỉnh để cải thiện sinh kế bằng cách đa dạng hoá cây trồ</w:t>
      </w:r>
      <w:r w:rsidR="00CD2761">
        <w:rPr>
          <w:rFonts w:ascii="Times New Roman" w:hAnsi="Times New Roman" w:cs="Times New Roman"/>
          <w:color w:val="000000" w:themeColor="text1"/>
          <w:sz w:val="24"/>
          <w:szCs w:val="24"/>
          <w:lang w:val="vi-VN"/>
        </w:rPr>
        <w:t>ng cho dù</w:t>
      </w:r>
      <w:r w:rsidRPr="005E5122">
        <w:rPr>
          <w:rFonts w:ascii="Times New Roman" w:hAnsi="Times New Roman" w:cs="Times New Roman"/>
          <w:color w:val="000000" w:themeColor="text1"/>
          <w:sz w:val="24"/>
          <w:szCs w:val="24"/>
          <w:lang w:val="vi-VN"/>
        </w:rPr>
        <w:t xml:space="preserve"> chính sách giữ ổn định đất trồng lúa vẫn không thay đổ</w:t>
      </w:r>
      <w:r w:rsidR="00ED473C">
        <w:rPr>
          <w:rFonts w:ascii="Times New Roman" w:hAnsi="Times New Roman" w:cs="Times New Roman"/>
          <w:color w:val="000000" w:themeColor="text1"/>
          <w:sz w:val="24"/>
          <w:szCs w:val="24"/>
          <w:lang w:val="vi-VN"/>
        </w:rPr>
        <w:t>i</w:t>
      </w:r>
      <w:r w:rsidR="001D65D9">
        <w:rPr>
          <w:rFonts w:ascii="Times New Roman" w:hAnsi="Times New Roman" w:cs="Times New Roman"/>
          <w:color w:val="000000" w:themeColor="text1"/>
          <w:sz w:val="24"/>
          <w:szCs w:val="24"/>
          <w:lang w:val="vi-VN"/>
        </w:rPr>
        <w:t xml:space="preserve"> [12</w:t>
      </w:r>
      <w:r w:rsidR="00F10220">
        <w:rPr>
          <w:rFonts w:ascii="Times New Roman" w:hAnsi="Times New Roman" w:cs="Times New Roman"/>
          <w:color w:val="000000" w:themeColor="text1"/>
          <w:sz w:val="24"/>
          <w:szCs w:val="24"/>
          <w:lang w:val="vi-VN"/>
        </w:rPr>
        <w:t>]</w:t>
      </w:r>
      <w:r w:rsidR="00ED473C">
        <w:rPr>
          <w:rFonts w:ascii="Times New Roman" w:hAnsi="Times New Roman" w:cs="Times New Roman"/>
          <w:color w:val="000000" w:themeColor="text1"/>
          <w:sz w:val="24"/>
          <w:szCs w:val="24"/>
          <w:lang w:val="vi-VN"/>
        </w:rPr>
        <w:t xml:space="preserve">. </w:t>
      </w:r>
      <w:r w:rsidR="001D65D9">
        <w:rPr>
          <w:rFonts w:ascii="Times New Roman" w:hAnsi="Times New Roman" w:cs="Times New Roman"/>
          <w:color w:val="000000" w:themeColor="text1"/>
          <w:sz w:val="24"/>
          <w:szCs w:val="24"/>
          <w:lang w:val="vi-VN"/>
        </w:rPr>
        <w:t>[13</w:t>
      </w:r>
      <w:r w:rsidR="00F10220">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xml:space="preserve"> kết luận </w:t>
      </w:r>
      <w:r w:rsidRPr="005E5122">
        <w:rPr>
          <w:rFonts w:ascii="Times New Roman" w:hAnsi="Times New Roman" w:cs="Times New Roman"/>
          <w:color w:val="000000" w:themeColor="text1"/>
          <w:sz w:val="24"/>
          <w:szCs w:val="24"/>
          <w:lang w:val="vi-VN"/>
        </w:rPr>
        <w:lastRenderedPageBreak/>
        <w:t>rằng khi sản xuất nông nghiệp ở quy mô nhỏ, các hộ gia đình có xu hướng đa dạng sinh kế hơn nhằm ổn định thu nhập và giảm bớt rủi ro. Như vậy xu hướng này cho thấy tầm quan trọng của việc xác định giá trị đa dạng hoá cây trồng, đặc biệt là khi chính phủ Việt Nam quan tâm tới việc chuyển sang các loại cây trồng khác thay vì lúa gạo, như một chiến lược phát triển nông nghiệp.</w:t>
      </w:r>
    </w:p>
    <w:p w14:paraId="03505DBC" w14:textId="58D4FE43" w:rsidR="00A76CC1" w:rsidRPr="005E5122" w:rsidRDefault="00A76CC1"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E5122">
        <w:rPr>
          <w:rFonts w:ascii="Times New Roman" w:hAnsi="Times New Roman" w:cs="Times New Roman"/>
          <w:color w:val="000000" w:themeColor="text1"/>
          <w:sz w:val="24"/>
          <w:szCs w:val="24"/>
          <w:lang w:val="vi-VN"/>
        </w:rPr>
        <w:t>Đa dạng hoá cây trồng là rất quan trọng cho sự tăng trưởng và tính bền vững của sản xuất nông nghiệp ở các nước đang phát triể</w:t>
      </w:r>
      <w:r w:rsidR="00ED473C">
        <w:rPr>
          <w:rFonts w:ascii="Times New Roman" w:hAnsi="Times New Roman" w:cs="Times New Roman"/>
          <w:color w:val="000000" w:themeColor="text1"/>
          <w:sz w:val="24"/>
          <w:szCs w:val="24"/>
          <w:lang w:val="vi-VN"/>
        </w:rPr>
        <w:t>n</w:t>
      </w:r>
      <w:r w:rsidR="001D65D9">
        <w:rPr>
          <w:rFonts w:ascii="Times New Roman" w:hAnsi="Times New Roman" w:cs="Times New Roman"/>
          <w:color w:val="000000" w:themeColor="text1"/>
          <w:sz w:val="24"/>
          <w:szCs w:val="24"/>
          <w:lang w:val="vi-VN"/>
        </w:rPr>
        <w:t xml:space="preserve"> [14</w:t>
      </w:r>
      <w:r w:rsidR="00F10220">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Ở Trung Quố</w:t>
      </w:r>
      <w:r w:rsidR="00AE66DD">
        <w:rPr>
          <w:rFonts w:ascii="Times New Roman" w:hAnsi="Times New Roman" w:cs="Times New Roman"/>
          <w:color w:val="000000" w:themeColor="text1"/>
          <w:sz w:val="24"/>
          <w:szCs w:val="24"/>
          <w:lang w:val="vi-VN"/>
        </w:rPr>
        <w:t xml:space="preserve">c, </w:t>
      </w:r>
      <w:r w:rsidRPr="005E5122">
        <w:rPr>
          <w:rFonts w:ascii="Times New Roman" w:hAnsi="Times New Roman" w:cs="Times New Roman"/>
          <w:color w:val="000000" w:themeColor="text1"/>
          <w:sz w:val="24"/>
          <w:szCs w:val="24"/>
          <w:lang w:val="vi-VN"/>
        </w:rPr>
        <w:t>với quy mô nhỏ</w:t>
      </w:r>
      <w:r w:rsidR="00CD2761">
        <w:rPr>
          <w:rFonts w:ascii="Times New Roman" w:hAnsi="Times New Roman" w:cs="Times New Roman"/>
          <w:color w:val="000000" w:themeColor="text1"/>
          <w:sz w:val="24"/>
          <w:szCs w:val="24"/>
          <w:lang w:val="vi-VN"/>
        </w:rPr>
        <w:t xml:space="preserve"> và manh mún</w:t>
      </w:r>
      <w:r w:rsidRPr="005E5122">
        <w:rPr>
          <w:rFonts w:ascii="Times New Roman" w:hAnsi="Times New Roman" w:cs="Times New Roman"/>
          <w:color w:val="000000" w:themeColor="text1"/>
          <w:sz w:val="24"/>
          <w:szCs w:val="24"/>
          <w:lang w:val="vi-VN"/>
        </w:rPr>
        <w:t>, các hộ gia đình nông dân đa dạng hóa các loại rau có giá trị</w:t>
      </w:r>
      <w:r w:rsidR="00CD2761">
        <w:rPr>
          <w:rFonts w:ascii="Times New Roman" w:hAnsi="Times New Roman" w:cs="Times New Roman"/>
          <w:color w:val="000000" w:themeColor="text1"/>
          <w:sz w:val="24"/>
          <w:szCs w:val="24"/>
          <w:lang w:val="vi-VN"/>
        </w:rPr>
        <w:t xml:space="preserve"> cao và cây trồng hàng năm khác để</w:t>
      </w:r>
      <w:r w:rsidRPr="005E5122">
        <w:rPr>
          <w:rFonts w:ascii="Times New Roman" w:hAnsi="Times New Roman" w:cs="Times New Roman"/>
          <w:color w:val="000000" w:themeColor="text1"/>
          <w:sz w:val="24"/>
          <w:szCs w:val="24"/>
          <w:lang w:val="vi-VN"/>
        </w:rPr>
        <w:t xml:space="preserve"> có thể cải thiện thu nhập. Nhiều nước đang phát triển đã ưu tiên chuyển đổi mô hình trồng trọt từ sản xuất lúa gạo sang đa dạng hoá</w:t>
      </w:r>
      <w:r w:rsidR="00CD2761">
        <w:rPr>
          <w:rFonts w:ascii="Times New Roman" w:hAnsi="Times New Roman" w:cs="Times New Roman"/>
          <w:color w:val="000000" w:themeColor="text1"/>
          <w:sz w:val="24"/>
          <w:szCs w:val="24"/>
          <w:lang w:val="vi-VN"/>
        </w:rPr>
        <w:t xml:space="preserve"> cơ cấu</w:t>
      </w:r>
      <w:r w:rsidRPr="005E5122">
        <w:rPr>
          <w:rFonts w:ascii="Times New Roman" w:hAnsi="Times New Roman" w:cs="Times New Roman"/>
          <w:color w:val="000000" w:themeColor="text1"/>
          <w:sz w:val="24"/>
          <w:szCs w:val="24"/>
          <w:lang w:val="vi-VN"/>
        </w:rPr>
        <w:t xml:space="preserve"> cây trồn</w:t>
      </w:r>
      <w:r w:rsidR="00ED473C">
        <w:rPr>
          <w:rFonts w:ascii="Times New Roman" w:hAnsi="Times New Roman" w:cs="Times New Roman"/>
          <w:color w:val="000000" w:themeColor="text1"/>
          <w:sz w:val="24"/>
          <w:szCs w:val="24"/>
          <w:lang w:val="vi-VN"/>
        </w:rPr>
        <w:t xml:space="preserve">g </w:t>
      </w:r>
      <w:r w:rsidR="001D65D9">
        <w:rPr>
          <w:rFonts w:ascii="Times New Roman" w:hAnsi="Times New Roman" w:cs="Times New Roman"/>
          <w:color w:val="000000" w:themeColor="text1"/>
          <w:sz w:val="24"/>
          <w:szCs w:val="24"/>
          <w:lang w:val="vi-VN"/>
        </w:rPr>
        <w:t>[15</w:t>
      </w:r>
      <w:r w:rsidR="00F10220">
        <w:rPr>
          <w:rFonts w:ascii="Times New Roman" w:hAnsi="Times New Roman" w:cs="Times New Roman"/>
          <w:color w:val="000000" w:themeColor="text1"/>
          <w:sz w:val="24"/>
          <w:szCs w:val="24"/>
          <w:lang w:val="vi-VN"/>
        </w:rPr>
        <w:t>]</w:t>
      </w:r>
      <w:r w:rsidR="00ED473C">
        <w:rPr>
          <w:rFonts w:ascii="Times New Roman" w:hAnsi="Times New Roman" w:cs="Times New Roman"/>
          <w:color w:val="000000" w:themeColor="text1"/>
          <w:sz w:val="24"/>
          <w:szCs w:val="24"/>
          <w:lang w:val="vi-VN"/>
        </w:rPr>
        <w:t>.</w:t>
      </w:r>
      <w:r w:rsidR="001D65D9">
        <w:rPr>
          <w:rFonts w:ascii="Times New Roman" w:hAnsi="Times New Roman" w:cs="Times New Roman"/>
          <w:color w:val="000000" w:themeColor="text1"/>
          <w:sz w:val="24"/>
          <w:szCs w:val="24"/>
          <w:lang w:val="vi-VN"/>
        </w:rPr>
        <w:t xml:space="preserve"> [16</w:t>
      </w:r>
      <w:r w:rsidR="00F10220">
        <w:rPr>
          <w:rFonts w:ascii="Times New Roman" w:hAnsi="Times New Roman" w:cs="Times New Roman"/>
          <w:color w:val="000000" w:themeColor="text1"/>
          <w:sz w:val="24"/>
          <w:szCs w:val="24"/>
          <w:lang w:val="vi-VN"/>
        </w:rPr>
        <w:t>]</w:t>
      </w:r>
      <w:r w:rsidR="00CD2761">
        <w:rPr>
          <w:rFonts w:ascii="Times New Roman" w:hAnsi="Times New Roman" w:cs="Times New Roman"/>
          <w:color w:val="000000" w:themeColor="text1"/>
          <w:sz w:val="24"/>
          <w:szCs w:val="24"/>
          <w:lang w:val="vi-VN"/>
        </w:rPr>
        <w:t xml:space="preserve"> chỉ ra</w:t>
      </w:r>
      <w:r w:rsidRPr="005E5122">
        <w:rPr>
          <w:rFonts w:ascii="Times New Roman" w:hAnsi="Times New Roman" w:cs="Times New Roman"/>
          <w:color w:val="000000" w:themeColor="text1"/>
          <w:sz w:val="24"/>
          <w:szCs w:val="24"/>
          <w:lang w:val="vi-VN"/>
        </w:rPr>
        <w:t xml:space="preserve"> rằng đa dạng hóa cây trồng có thể cải thiện khả năng phục hồi từ tác động ngày càng tăng của biến đổi khí hậu. Do đó, đa dạng hoá cây trồng có thể thúc đẩy sự tăng cường </w:t>
      </w:r>
      <w:r w:rsidR="00CD2761">
        <w:rPr>
          <w:rFonts w:ascii="Times New Roman" w:hAnsi="Times New Roman" w:cs="Times New Roman"/>
          <w:color w:val="000000" w:themeColor="text1"/>
          <w:sz w:val="24"/>
          <w:szCs w:val="24"/>
          <w:lang w:val="vi-VN"/>
        </w:rPr>
        <w:t xml:space="preserve">tính </w:t>
      </w:r>
      <w:r w:rsidRPr="005E5122">
        <w:rPr>
          <w:rFonts w:ascii="Times New Roman" w:hAnsi="Times New Roman" w:cs="Times New Roman"/>
          <w:color w:val="000000" w:themeColor="text1"/>
          <w:sz w:val="24"/>
          <w:szCs w:val="24"/>
          <w:lang w:val="vi-VN"/>
        </w:rPr>
        <w:t>bền vững trong sản xuất nông nghiệp.</w:t>
      </w:r>
    </w:p>
    <w:p w14:paraId="3B4E0F9E" w14:textId="0D899654" w:rsidR="00EC7BC2" w:rsidRPr="005E5122" w:rsidRDefault="00EC7BC2" w:rsidP="00FC617C">
      <w:pPr>
        <w:pStyle w:val="HTMLPreformatted"/>
        <w:spacing w:line="480" w:lineRule="auto"/>
        <w:ind w:firstLine="567"/>
        <w:jc w:val="both"/>
        <w:rPr>
          <w:rFonts w:ascii="Times New Roman" w:hAnsi="Times New Roman" w:cs="Times New Roman"/>
          <w:color w:val="000000" w:themeColor="text1"/>
          <w:sz w:val="24"/>
          <w:szCs w:val="24"/>
        </w:rPr>
      </w:pPr>
      <w:r w:rsidRPr="005E5122">
        <w:rPr>
          <w:rFonts w:ascii="Times New Roman" w:hAnsi="Times New Roman" w:cs="Times New Roman"/>
          <w:color w:val="000000" w:themeColor="text1"/>
          <w:sz w:val="24"/>
          <w:szCs w:val="24"/>
          <w:lang w:val="vi-VN"/>
        </w:rPr>
        <w:t>Mặ</w:t>
      </w:r>
      <w:r w:rsidR="00CD2761">
        <w:rPr>
          <w:rFonts w:ascii="Times New Roman" w:hAnsi="Times New Roman" w:cs="Times New Roman"/>
          <w:color w:val="000000" w:themeColor="text1"/>
          <w:sz w:val="24"/>
          <w:szCs w:val="24"/>
          <w:lang w:val="vi-VN"/>
        </w:rPr>
        <w:t xml:space="preserve">c dù </w:t>
      </w:r>
      <w:r w:rsidRPr="005E5122">
        <w:rPr>
          <w:rFonts w:ascii="Times New Roman" w:hAnsi="Times New Roman" w:cs="Times New Roman"/>
          <w:color w:val="000000" w:themeColor="text1"/>
          <w:sz w:val="24"/>
          <w:szCs w:val="24"/>
          <w:lang w:val="vi-VN"/>
        </w:rPr>
        <w:t xml:space="preserve">chính sách lúa gạo và đất đai đã làm hạn chế người nông dân trồng lúa, </w:t>
      </w:r>
      <w:r w:rsidR="00CD2761">
        <w:rPr>
          <w:rFonts w:ascii="Times New Roman" w:hAnsi="Times New Roman" w:cs="Times New Roman"/>
          <w:color w:val="000000" w:themeColor="text1"/>
          <w:sz w:val="24"/>
          <w:szCs w:val="24"/>
          <w:lang w:val="vi-VN"/>
        </w:rPr>
        <w:t>nhưng xu hướng</w:t>
      </w:r>
      <w:r w:rsidRPr="005E5122">
        <w:rPr>
          <w:rFonts w:ascii="Times New Roman" w:hAnsi="Times New Roman" w:cs="Times New Roman"/>
          <w:color w:val="000000" w:themeColor="text1"/>
          <w:sz w:val="24"/>
          <w:szCs w:val="24"/>
          <w:lang w:val="vi-VN"/>
        </w:rPr>
        <w:t xml:space="preserve"> đa dạng về cây trồ</w:t>
      </w:r>
      <w:r w:rsidR="00CD2761">
        <w:rPr>
          <w:rFonts w:ascii="Times New Roman" w:hAnsi="Times New Roman" w:cs="Times New Roman"/>
          <w:color w:val="000000" w:themeColor="text1"/>
          <w:sz w:val="24"/>
          <w:szCs w:val="24"/>
          <w:lang w:val="vi-VN"/>
        </w:rPr>
        <w:t>ng đã xuất hiện</w:t>
      </w:r>
      <w:r w:rsidRPr="005E5122">
        <w:rPr>
          <w:rFonts w:ascii="Times New Roman" w:hAnsi="Times New Roman" w:cs="Times New Roman"/>
          <w:color w:val="000000" w:themeColor="text1"/>
          <w:sz w:val="24"/>
          <w:szCs w:val="24"/>
          <w:lang w:val="vi-VN"/>
        </w:rPr>
        <w:t xml:space="preserve"> ở Việt Nam</w:t>
      </w:r>
      <w:r w:rsidRPr="005E5122">
        <w:rPr>
          <w:rStyle w:val="FootnoteReference"/>
          <w:rFonts w:ascii="Times New Roman" w:hAnsi="Times New Roman" w:cs="Times New Roman"/>
          <w:color w:val="000000" w:themeColor="text1"/>
          <w:sz w:val="24"/>
          <w:szCs w:val="24"/>
        </w:rPr>
        <w:footnoteReference w:id="4"/>
      </w:r>
      <w:r w:rsidR="00ED473C">
        <w:rPr>
          <w:rFonts w:ascii="Times New Roman" w:hAnsi="Times New Roman" w:cs="Times New Roman"/>
          <w:color w:val="000000" w:themeColor="text1"/>
          <w:sz w:val="24"/>
          <w:szCs w:val="24"/>
          <w:lang w:val="vi-VN"/>
        </w:rPr>
        <w:t xml:space="preserve">. </w:t>
      </w:r>
      <w:r w:rsidR="005E2AEB">
        <w:rPr>
          <w:rFonts w:ascii="Times New Roman" w:hAnsi="Times New Roman" w:cs="Times New Roman"/>
          <w:color w:val="000000" w:themeColor="text1"/>
          <w:sz w:val="24"/>
          <w:szCs w:val="24"/>
          <w:lang w:val="vi-VN"/>
        </w:rPr>
        <w:t>[17</w:t>
      </w:r>
      <w:r w:rsidR="00F10220">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xml:space="preserve"> cung cấp cái nhìn tổng quan về</w:t>
      </w:r>
      <w:r w:rsidR="00CD2761">
        <w:rPr>
          <w:rFonts w:ascii="Times New Roman" w:hAnsi="Times New Roman" w:cs="Times New Roman"/>
          <w:color w:val="000000" w:themeColor="text1"/>
          <w:sz w:val="24"/>
          <w:szCs w:val="24"/>
          <w:lang w:val="vi-VN"/>
        </w:rPr>
        <w:t xml:space="preserve"> các mô hình</w:t>
      </w:r>
      <w:r w:rsidRPr="005E5122">
        <w:rPr>
          <w:rFonts w:ascii="Times New Roman" w:hAnsi="Times New Roman" w:cs="Times New Roman"/>
          <w:color w:val="000000" w:themeColor="text1"/>
          <w:sz w:val="24"/>
          <w:szCs w:val="24"/>
          <w:lang w:val="vi-VN"/>
        </w:rPr>
        <w:t xml:space="preserve"> sử dụng đất điển hình, bao gồm các loại gạo chuyên biệt, gạo và các loại cây ngắn ngày như rau, đậ</w:t>
      </w:r>
      <w:r w:rsidR="00CD2761">
        <w:rPr>
          <w:rFonts w:ascii="Times New Roman" w:hAnsi="Times New Roman" w:cs="Times New Roman"/>
          <w:color w:val="000000" w:themeColor="text1"/>
          <w:sz w:val="24"/>
          <w:szCs w:val="24"/>
          <w:lang w:val="vi-VN"/>
        </w:rPr>
        <w:t>u nành và</w:t>
      </w:r>
      <w:r w:rsidRPr="005E5122">
        <w:rPr>
          <w:rFonts w:ascii="Times New Roman" w:hAnsi="Times New Roman" w:cs="Times New Roman"/>
          <w:color w:val="000000" w:themeColor="text1"/>
          <w:sz w:val="24"/>
          <w:szCs w:val="24"/>
          <w:lang w:val="vi-VN"/>
        </w:rPr>
        <w:t xml:space="preserve"> các loại </w:t>
      </w:r>
      <w:r w:rsidR="00CD2761">
        <w:rPr>
          <w:rFonts w:ascii="Times New Roman" w:hAnsi="Times New Roman" w:cs="Times New Roman"/>
          <w:color w:val="000000" w:themeColor="text1"/>
          <w:sz w:val="24"/>
          <w:szCs w:val="24"/>
          <w:lang w:val="vi-VN"/>
        </w:rPr>
        <w:t>cây hàng năm khác</w:t>
      </w:r>
      <w:r w:rsidR="00ED473C">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xml:space="preserve"> </w:t>
      </w:r>
      <w:r w:rsidR="005E2AEB">
        <w:rPr>
          <w:rFonts w:ascii="Times New Roman" w:hAnsi="Times New Roman" w:cs="Times New Roman"/>
          <w:color w:val="000000" w:themeColor="text1"/>
          <w:sz w:val="24"/>
          <w:szCs w:val="24"/>
          <w:lang w:val="vi-VN"/>
        </w:rPr>
        <w:t>[17</w:t>
      </w:r>
      <w:r w:rsidR="00F10220">
        <w:rPr>
          <w:rFonts w:ascii="Times New Roman" w:hAnsi="Times New Roman" w:cs="Times New Roman"/>
          <w:color w:val="000000" w:themeColor="text1"/>
          <w:sz w:val="24"/>
          <w:szCs w:val="24"/>
          <w:lang w:val="vi-VN"/>
        </w:rPr>
        <w:t xml:space="preserve">] </w:t>
      </w:r>
      <w:r w:rsidRPr="005E5122">
        <w:rPr>
          <w:rFonts w:ascii="Times New Roman" w:hAnsi="Times New Roman" w:cs="Times New Roman"/>
          <w:color w:val="000000" w:themeColor="text1"/>
          <w:sz w:val="24"/>
          <w:szCs w:val="24"/>
          <w:lang w:val="vi-VN"/>
        </w:rPr>
        <w:t>cho thấy lợi nhuận cao hơn từ các mô hình trồng trọt bao gồm các loại cây trồng như khoai tây, cải bắp, cà chua, bí, dưa chuột, đậu và đậu Hà Lan. Ngoài ra, luân canh lúa và các cây trồng khác luôn mang lại thu nhập cao hơn đất trồng l</w:t>
      </w:r>
      <w:r w:rsidR="00ED473C">
        <w:rPr>
          <w:rFonts w:ascii="Times New Roman" w:hAnsi="Times New Roman" w:cs="Times New Roman"/>
          <w:color w:val="000000" w:themeColor="text1"/>
          <w:sz w:val="24"/>
          <w:szCs w:val="24"/>
          <w:lang w:val="vi-VN"/>
        </w:rPr>
        <w:t xml:space="preserve">úa đơn canh. </w:t>
      </w:r>
      <w:r w:rsidR="005E2AEB">
        <w:rPr>
          <w:rFonts w:ascii="Times New Roman" w:hAnsi="Times New Roman" w:cs="Times New Roman"/>
          <w:color w:val="000000" w:themeColor="text1"/>
          <w:sz w:val="24"/>
          <w:szCs w:val="24"/>
          <w:lang w:val="vi-VN"/>
        </w:rPr>
        <w:t>[12</w:t>
      </w:r>
      <w:r w:rsidR="00F10220">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xml:space="preserve"> cho thấy ở các vùng núi của Việt Nam, các hộ gia đình phụ thuộc nhiều vào gạo để sinh sống và các loại cây công nghiệp khác để </w:t>
      </w:r>
      <w:r w:rsidR="00CD2761">
        <w:rPr>
          <w:rFonts w:ascii="Times New Roman" w:hAnsi="Times New Roman" w:cs="Times New Roman"/>
          <w:color w:val="000000" w:themeColor="text1"/>
          <w:sz w:val="24"/>
          <w:szCs w:val="24"/>
          <w:lang w:val="vi-VN"/>
        </w:rPr>
        <w:t>mang lại thu nhập cao hơn</w:t>
      </w:r>
      <w:r w:rsidRPr="005E5122">
        <w:rPr>
          <w:rFonts w:ascii="Times New Roman" w:hAnsi="Times New Roman" w:cs="Times New Roman"/>
          <w:color w:val="000000" w:themeColor="text1"/>
          <w:sz w:val="24"/>
          <w:szCs w:val="24"/>
          <w:lang w:val="vi-VN"/>
        </w:rPr>
        <w:t xml:space="preserve">. </w:t>
      </w:r>
      <w:r w:rsidR="00F10220">
        <w:rPr>
          <w:rFonts w:ascii="Times New Roman" w:hAnsi="Times New Roman" w:cs="Times New Roman"/>
          <w:color w:val="000000" w:themeColor="text1"/>
          <w:sz w:val="24"/>
          <w:szCs w:val="24"/>
          <w:lang w:val="vi-VN"/>
        </w:rPr>
        <w:t>G</w:t>
      </w:r>
      <w:r w:rsidRPr="005E5122">
        <w:rPr>
          <w:rFonts w:ascii="Times New Roman" w:hAnsi="Times New Roman" w:cs="Times New Roman"/>
          <w:color w:val="000000" w:themeColor="text1"/>
          <w:sz w:val="24"/>
          <w:szCs w:val="24"/>
          <w:lang w:val="vi-VN"/>
        </w:rPr>
        <w:t xml:space="preserve">ạo </w:t>
      </w:r>
      <w:r w:rsidR="00CD2761">
        <w:rPr>
          <w:rFonts w:ascii="Times New Roman" w:hAnsi="Times New Roman" w:cs="Times New Roman"/>
          <w:color w:val="000000" w:themeColor="text1"/>
          <w:sz w:val="24"/>
          <w:szCs w:val="24"/>
          <w:lang w:val="vi-VN"/>
        </w:rPr>
        <w:t xml:space="preserve">chỉ </w:t>
      </w:r>
      <w:r w:rsidRPr="005E5122">
        <w:rPr>
          <w:rFonts w:ascii="Times New Roman" w:hAnsi="Times New Roman" w:cs="Times New Roman"/>
          <w:color w:val="000000" w:themeColor="text1"/>
          <w:sz w:val="24"/>
          <w:szCs w:val="24"/>
          <w:lang w:val="vi-VN"/>
        </w:rPr>
        <w:t>chiếm 11% tổng diệ</w:t>
      </w:r>
      <w:r w:rsidR="00CD2761">
        <w:rPr>
          <w:rFonts w:ascii="Times New Roman" w:hAnsi="Times New Roman" w:cs="Times New Roman"/>
          <w:color w:val="000000" w:themeColor="text1"/>
          <w:sz w:val="24"/>
          <w:szCs w:val="24"/>
          <w:lang w:val="vi-VN"/>
        </w:rPr>
        <w:t>n tích đất</w:t>
      </w:r>
      <w:r w:rsidRPr="005E5122">
        <w:rPr>
          <w:rFonts w:ascii="Times New Roman" w:hAnsi="Times New Roman" w:cs="Times New Roman"/>
          <w:color w:val="000000" w:themeColor="text1"/>
          <w:sz w:val="24"/>
          <w:szCs w:val="24"/>
          <w:lang w:val="vi-VN"/>
        </w:rPr>
        <w:t xml:space="preserve"> và 8,5% chi tiêu</w:t>
      </w:r>
      <w:r w:rsidR="00CD2761">
        <w:rPr>
          <w:rFonts w:ascii="Times New Roman" w:hAnsi="Times New Roman" w:cs="Times New Roman"/>
          <w:color w:val="000000" w:themeColor="text1"/>
          <w:sz w:val="24"/>
          <w:szCs w:val="24"/>
          <w:lang w:val="vi-VN"/>
        </w:rPr>
        <w:t xml:space="preserve"> của hộ gia đình</w:t>
      </w:r>
      <w:r w:rsidRPr="005E5122">
        <w:rPr>
          <w:rFonts w:ascii="Times New Roman" w:hAnsi="Times New Roman" w:cs="Times New Roman"/>
          <w:color w:val="000000" w:themeColor="text1"/>
          <w:sz w:val="24"/>
          <w:szCs w:val="24"/>
          <w:lang w:val="vi-VN"/>
        </w:rPr>
        <w:t>, ngô là cây trồng chính (71% diệ</w:t>
      </w:r>
      <w:r w:rsidR="00CD2761">
        <w:rPr>
          <w:rFonts w:ascii="Times New Roman" w:hAnsi="Times New Roman" w:cs="Times New Roman"/>
          <w:color w:val="000000" w:themeColor="text1"/>
          <w:sz w:val="24"/>
          <w:szCs w:val="24"/>
          <w:lang w:val="vi-VN"/>
        </w:rPr>
        <w:t>n tích) và</w:t>
      </w:r>
      <w:r w:rsidRPr="005E5122">
        <w:rPr>
          <w:rFonts w:ascii="Times New Roman" w:hAnsi="Times New Roman" w:cs="Times New Roman"/>
          <w:color w:val="000000" w:themeColor="text1"/>
          <w:sz w:val="24"/>
          <w:szCs w:val="24"/>
          <w:lang w:val="vi-VN"/>
        </w:rPr>
        <w:t xml:space="preserve"> nguồn thu nhập chủ yếu </w:t>
      </w:r>
      <w:r w:rsidR="00CD2761">
        <w:rPr>
          <w:rFonts w:ascii="Times New Roman" w:hAnsi="Times New Roman" w:cs="Times New Roman"/>
          <w:color w:val="000000" w:themeColor="text1"/>
          <w:sz w:val="24"/>
          <w:szCs w:val="24"/>
          <w:lang w:val="vi-VN"/>
        </w:rPr>
        <w:t xml:space="preserve">đến </w:t>
      </w:r>
      <w:r w:rsidRPr="005E5122">
        <w:rPr>
          <w:rFonts w:ascii="Times New Roman" w:hAnsi="Times New Roman" w:cs="Times New Roman"/>
          <w:color w:val="000000" w:themeColor="text1"/>
          <w:sz w:val="24"/>
          <w:szCs w:val="24"/>
          <w:lang w:val="vi-VN"/>
        </w:rPr>
        <w:t>từ hoa màu, chiếm 65% tổng thu nhập của hộ gia đình .</w:t>
      </w:r>
    </w:p>
    <w:p w14:paraId="4884DFBF" w14:textId="49BB2D46" w:rsidR="00EC7BC2" w:rsidRPr="005E5122" w:rsidRDefault="00EC7BC2" w:rsidP="00FC617C">
      <w:pPr>
        <w:pStyle w:val="HTMLPreformatted"/>
        <w:spacing w:line="480" w:lineRule="auto"/>
        <w:ind w:firstLine="567"/>
        <w:jc w:val="both"/>
        <w:rPr>
          <w:rFonts w:ascii="Times New Roman" w:hAnsi="Times New Roman" w:cs="Times New Roman"/>
          <w:color w:val="000000" w:themeColor="text1"/>
          <w:sz w:val="24"/>
          <w:szCs w:val="24"/>
        </w:rPr>
      </w:pPr>
      <w:r w:rsidRPr="005E5122">
        <w:rPr>
          <w:rFonts w:ascii="Times New Roman" w:hAnsi="Times New Roman" w:cs="Times New Roman"/>
          <w:color w:val="000000" w:themeColor="text1"/>
          <w:sz w:val="24"/>
          <w:szCs w:val="24"/>
          <w:lang w:val="vi-VN"/>
        </w:rPr>
        <w:lastRenderedPageBreak/>
        <w:t>Tại đồng bằng sông Cửu Long, nông dân đã thông qua luân canh trên đất lúa, một số loại cây trồng hoặc cá đã được luân canh với lúa. Mặc dù đã có những hạn chế đối với việc chuyển đổi mục đích sử dụng đất</w:t>
      </w:r>
      <w:r w:rsidR="00CD2761">
        <w:rPr>
          <w:rFonts w:ascii="Times New Roman" w:hAnsi="Times New Roman" w:cs="Times New Roman"/>
          <w:color w:val="000000" w:themeColor="text1"/>
          <w:sz w:val="24"/>
          <w:szCs w:val="24"/>
          <w:lang w:val="vi-VN"/>
        </w:rPr>
        <w:t xml:space="preserve"> nông nghiệp</w:t>
      </w:r>
      <w:r w:rsidRPr="005E5122">
        <w:rPr>
          <w:rFonts w:ascii="Times New Roman" w:hAnsi="Times New Roman" w:cs="Times New Roman"/>
          <w:color w:val="000000" w:themeColor="text1"/>
          <w:sz w:val="24"/>
          <w:szCs w:val="24"/>
          <w:lang w:val="vi-VN"/>
        </w:rPr>
        <w:t>,</w:t>
      </w:r>
      <w:r w:rsidR="00CD2761">
        <w:rPr>
          <w:rFonts w:ascii="Times New Roman" w:hAnsi="Times New Roman" w:cs="Times New Roman"/>
          <w:color w:val="000000" w:themeColor="text1"/>
          <w:sz w:val="24"/>
          <w:szCs w:val="24"/>
          <w:lang w:val="vi-VN"/>
        </w:rPr>
        <w:t xml:space="preserve"> nhưng</w:t>
      </w:r>
      <w:r w:rsidRPr="005E5122">
        <w:rPr>
          <w:rFonts w:ascii="Times New Roman" w:hAnsi="Times New Roman" w:cs="Times New Roman"/>
          <w:color w:val="000000" w:themeColor="text1"/>
          <w:sz w:val="24"/>
          <w:szCs w:val="24"/>
          <w:lang w:val="vi-VN"/>
        </w:rPr>
        <w:t xml:space="preserve"> nhiều chính quyền địa phương đã dần dần nới lỏng những hạn chế này và cho phép nông dân đa dạng hóa ở mức hạn chế</w:t>
      </w:r>
      <w:r w:rsidRPr="005E5122">
        <w:rPr>
          <w:rStyle w:val="FootnoteReference"/>
          <w:rFonts w:ascii="Times New Roman" w:hAnsi="Times New Roman" w:cs="Times New Roman"/>
          <w:color w:val="000000" w:themeColor="text1"/>
          <w:sz w:val="24"/>
          <w:szCs w:val="24"/>
        </w:rPr>
        <w:footnoteReference w:id="5"/>
      </w:r>
      <w:r w:rsidRPr="005E5122">
        <w:rPr>
          <w:rFonts w:ascii="Times New Roman" w:hAnsi="Times New Roman" w:cs="Times New Roman"/>
          <w:color w:val="000000" w:themeColor="text1"/>
          <w:sz w:val="24"/>
          <w:szCs w:val="24"/>
          <w:lang w:val="vi-VN"/>
        </w:rPr>
        <w:t>. Tuy nhiên, đất lúa vẫn chiếm 72% diện tích đất nông nghiệ</w:t>
      </w:r>
      <w:r w:rsidR="00CD2761">
        <w:rPr>
          <w:rFonts w:ascii="Times New Roman" w:hAnsi="Times New Roman" w:cs="Times New Roman"/>
          <w:color w:val="000000" w:themeColor="text1"/>
          <w:sz w:val="24"/>
          <w:szCs w:val="24"/>
          <w:lang w:val="vi-VN"/>
        </w:rPr>
        <w:t>p trong vùng</w:t>
      </w:r>
      <w:r w:rsidR="00F10220">
        <w:rPr>
          <w:rFonts w:ascii="Times New Roman" w:hAnsi="Times New Roman" w:cs="Times New Roman"/>
          <w:color w:val="000000" w:themeColor="text1"/>
          <w:sz w:val="24"/>
          <w:szCs w:val="24"/>
          <w:lang w:val="vi-VN"/>
        </w:rPr>
        <w:t xml:space="preserve"> [6]</w:t>
      </w:r>
      <w:r w:rsidR="00133A07">
        <w:rPr>
          <w:rFonts w:ascii="Times New Roman" w:hAnsi="Times New Roman" w:cs="Times New Roman"/>
          <w:color w:val="000000" w:themeColor="text1"/>
          <w:sz w:val="24"/>
          <w:szCs w:val="24"/>
          <w:lang w:val="vi-VN"/>
        </w:rPr>
        <w:t>. Bên cạnh đó</w:t>
      </w:r>
      <w:r w:rsidR="00ED473C">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xml:space="preserve"> </w:t>
      </w:r>
      <w:r w:rsidR="001D65D9">
        <w:rPr>
          <w:rFonts w:ascii="Times New Roman" w:hAnsi="Times New Roman" w:cs="Times New Roman"/>
          <w:color w:val="000000" w:themeColor="text1"/>
          <w:sz w:val="24"/>
          <w:szCs w:val="24"/>
          <w:lang w:val="vi-VN"/>
        </w:rPr>
        <w:t>[6</w:t>
      </w:r>
      <w:r w:rsidR="00F10220">
        <w:rPr>
          <w:rFonts w:ascii="Times New Roman" w:hAnsi="Times New Roman" w:cs="Times New Roman"/>
          <w:color w:val="000000" w:themeColor="text1"/>
          <w:sz w:val="24"/>
          <w:szCs w:val="24"/>
          <w:lang w:val="vi-VN"/>
        </w:rPr>
        <w:t xml:space="preserve">] </w:t>
      </w:r>
      <w:r w:rsidRPr="005E5122">
        <w:rPr>
          <w:rFonts w:ascii="Times New Roman" w:hAnsi="Times New Roman" w:cs="Times New Roman"/>
          <w:color w:val="000000" w:themeColor="text1"/>
          <w:sz w:val="24"/>
          <w:szCs w:val="24"/>
          <w:lang w:val="vi-VN"/>
        </w:rPr>
        <w:t>ước tính rằ</w:t>
      </w:r>
      <w:r w:rsidR="00133A07">
        <w:rPr>
          <w:rFonts w:ascii="Times New Roman" w:hAnsi="Times New Roman" w:cs="Times New Roman"/>
          <w:color w:val="000000" w:themeColor="text1"/>
          <w:sz w:val="24"/>
          <w:szCs w:val="24"/>
          <w:lang w:val="vi-VN"/>
        </w:rPr>
        <w:t>ng hộ gia đình luân canh lúa/</w:t>
      </w:r>
      <w:r w:rsidRPr="005E5122">
        <w:rPr>
          <w:rFonts w:ascii="Times New Roman" w:hAnsi="Times New Roman" w:cs="Times New Roman"/>
          <w:color w:val="000000" w:themeColor="text1"/>
          <w:sz w:val="24"/>
          <w:szCs w:val="24"/>
          <w:lang w:val="vi-VN"/>
        </w:rPr>
        <w:t>cá tại khu vực trồng lúa gạo lớn nhất ở Việt Nam đã thu được 40-45 triệu đồ</w:t>
      </w:r>
      <w:r w:rsidR="00CD2761">
        <w:rPr>
          <w:rFonts w:ascii="Times New Roman" w:hAnsi="Times New Roman" w:cs="Times New Roman"/>
          <w:color w:val="000000" w:themeColor="text1"/>
          <w:sz w:val="24"/>
          <w:szCs w:val="24"/>
          <w:lang w:val="vi-VN"/>
        </w:rPr>
        <w:t>ng</w:t>
      </w:r>
      <w:r w:rsidRPr="005E5122">
        <w:rPr>
          <w:rFonts w:ascii="Times New Roman" w:hAnsi="Times New Roman" w:cs="Times New Roman"/>
          <w:color w:val="000000" w:themeColor="text1"/>
          <w:sz w:val="24"/>
          <w:szCs w:val="24"/>
          <w:lang w:val="vi-VN"/>
        </w:rPr>
        <w:t>/</w:t>
      </w:r>
      <w:r w:rsidR="00CD2761">
        <w:rPr>
          <w:rFonts w:ascii="Times New Roman" w:hAnsi="Times New Roman" w:cs="Times New Roman"/>
          <w:color w:val="000000" w:themeColor="text1"/>
          <w:sz w:val="24"/>
          <w:szCs w:val="24"/>
          <w:lang w:val="vi-VN"/>
        </w:rPr>
        <w:t>ha/</w:t>
      </w:r>
      <w:r w:rsidRPr="005E5122">
        <w:rPr>
          <w:rFonts w:ascii="Times New Roman" w:hAnsi="Times New Roman" w:cs="Times New Roman"/>
          <w:color w:val="000000" w:themeColor="text1"/>
          <w:sz w:val="24"/>
          <w:szCs w:val="24"/>
          <w:lang w:val="vi-VN"/>
        </w:rPr>
        <w:t>năm và lợi nhuận từ 20-25 triệu đồ</w:t>
      </w:r>
      <w:r w:rsidR="00CD2761">
        <w:rPr>
          <w:rFonts w:ascii="Times New Roman" w:hAnsi="Times New Roman" w:cs="Times New Roman"/>
          <w:color w:val="000000" w:themeColor="text1"/>
          <w:sz w:val="24"/>
          <w:szCs w:val="24"/>
          <w:lang w:val="vi-VN"/>
        </w:rPr>
        <w:t>ng/</w:t>
      </w:r>
      <w:r w:rsidRPr="005E5122">
        <w:rPr>
          <w:rFonts w:ascii="Times New Roman" w:hAnsi="Times New Roman" w:cs="Times New Roman"/>
          <w:color w:val="000000" w:themeColor="text1"/>
          <w:sz w:val="24"/>
          <w:szCs w:val="24"/>
          <w:lang w:val="vi-VN"/>
        </w:rPr>
        <w:t>ha so với lợi nhuận 8-10 triệu đồ</w:t>
      </w:r>
      <w:r w:rsidR="00CD2761">
        <w:rPr>
          <w:rFonts w:ascii="Times New Roman" w:hAnsi="Times New Roman" w:cs="Times New Roman"/>
          <w:color w:val="000000" w:themeColor="text1"/>
          <w:sz w:val="24"/>
          <w:szCs w:val="24"/>
          <w:lang w:val="vi-VN"/>
        </w:rPr>
        <w:t>ng/</w:t>
      </w:r>
      <w:r w:rsidRPr="005E5122">
        <w:rPr>
          <w:rFonts w:ascii="Times New Roman" w:hAnsi="Times New Roman" w:cs="Times New Roman"/>
          <w:color w:val="000000" w:themeColor="text1"/>
          <w:sz w:val="24"/>
          <w:szCs w:val="24"/>
          <w:lang w:val="vi-VN"/>
        </w:rPr>
        <w:t>ha từ sản xuất lúa gạo. Đồng thờ</w:t>
      </w:r>
      <w:r w:rsidR="00621872">
        <w:rPr>
          <w:rFonts w:ascii="Times New Roman" w:hAnsi="Times New Roman" w:cs="Times New Roman"/>
          <w:color w:val="000000" w:themeColor="text1"/>
          <w:sz w:val="24"/>
          <w:szCs w:val="24"/>
          <w:lang w:val="vi-VN"/>
        </w:rPr>
        <w:t>i, trong luân canh lúa/</w:t>
      </w:r>
      <w:r w:rsidRPr="005E5122">
        <w:rPr>
          <w:rFonts w:ascii="Times New Roman" w:hAnsi="Times New Roman" w:cs="Times New Roman"/>
          <w:color w:val="000000" w:themeColor="text1"/>
          <w:sz w:val="24"/>
          <w:szCs w:val="24"/>
          <w:lang w:val="vi-VN"/>
        </w:rPr>
        <w:t>rau, các hộ trồng lúa sau vụ thu hoạch vụ đông xuân và trước khi trồng vụ hè thu có thể kiếm được thu nhập hàng năm từ 30-70 triệu đồ</w:t>
      </w:r>
      <w:r w:rsidR="00621872">
        <w:rPr>
          <w:rFonts w:ascii="Times New Roman" w:hAnsi="Times New Roman" w:cs="Times New Roman"/>
          <w:color w:val="000000" w:themeColor="text1"/>
          <w:sz w:val="24"/>
          <w:szCs w:val="24"/>
          <w:lang w:val="vi-VN"/>
        </w:rPr>
        <w:t>ng/</w:t>
      </w:r>
      <w:r w:rsidRPr="005E5122">
        <w:rPr>
          <w:rFonts w:ascii="Times New Roman" w:hAnsi="Times New Roman" w:cs="Times New Roman"/>
          <w:color w:val="000000" w:themeColor="text1"/>
          <w:sz w:val="24"/>
          <w:szCs w:val="24"/>
          <w:lang w:val="vi-VN"/>
        </w:rPr>
        <w:t xml:space="preserve">ha, lợi nhuận </w:t>
      </w:r>
      <w:r w:rsidR="00133A07">
        <w:rPr>
          <w:rFonts w:ascii="Times New Roman" w:hAnsi="Times New Roman" w:cs="Times New Roman"/>
          <w:color w:val="000000" w:themeColor="text1"/>
          <w:sz w:val="24"/>
          <w:szCs w:val="24"/>
          <w:lang w:val="vi-VN"/>
        </w:rPr>
        <w:t xml:space="preserve">từ </w:t>
      </w:r>
      <w:r w:rsidRPr="005E5122">
        <w:rPr>
          <w:rFonts w:ascii="Times New Roman" w:hAnsi="Times New Roman" w:cs="Times New Roman"/>
          <w:color w:val="000000" w:themeColor="text1"/>
          <w:sz w:val="24"/>
          <w:szCs w:val="24"/>
          <w:lang w:val="vi-VN"/>
        </w:rPr>
        <w:t>15 đồ</w:t>
      </w:r>
      <w:r w:rsidR="00133A07">
        <w:rPr>
          <w:rFonts w:ascii="Times New Roman" w:hAnsi="Times New Roman" w:cs="Times New Roman"/>
          <w:color w:val="000000" w:themeColor="text1"/>
          <w:sz w:val="24"/>
          <w:szCs w:val="24"/>
          <w:lang w:val="vi-VN"/>
        </w:rPr>
        <w:t xml:space="preserve">ng đến </w:t>
      </w:r>
      <w:r w:rsidRPr="005E5122">
        <w:rPr>
          <w:rFonts w:ascii="Times New Roman" w:hAnsi="Times New Roman" w:cs="Times New Roman"/>
          <w:color w:val="000000" w:themeColor="text1"/>
          <w:sz w:val="24"/>
          <w:szCs w:val="24"/>
          <w:lang w:val="vi-VN"/>
        </w:rPr>
        <w:t>40 triệu</w:t>
      </w:r>
      <w:r w:rsidR="00133A07">
        <w:rPr>
          <w:rFonts w:ascii="Times New Roman" w:hAnsi="Times New Roman" w:cs="Times New Roman"/>
          <w:color w:val="000000" w:themeColor="text1"/>
          <w:sz w:val="24"/>
          <w:szCs w:val="24"/>
          <w:lang w:val="vi-VN"/>
        </w:rPr>
        <w:t xml:space="preserve"> đồng</w:t>
      </w:r>
      <w:r w:rsidRPr="005E5122">
        <w:rPr>
          <w:rFonts w:ascii="Times New Roman" w:hAnsi="Times New Roman" w:cs="Times New Roman"/>
          <w:color w:val="000000" w:themeColor="text1"/>
          <w:sz w:val="24"/>
          <w:szCs w:val="24"/>
          <w:lang w:val="vi-VN"/>
        </w:rPr>
        <w:t xml:space="preserve">. </w:t>
      </w:r>
      <w:r w:rsidR="00133A07">
        <w:rPr>
          <w:rFonts w:ascii="Times New Roman" w:hAnsi="Times New Roman" w:cs="Times New Roman"/>
          <w:color w:val="000000" w:themeColor="text1"/>
          <w:sz w:val="24"/>
          <w:szCs w:val="24"/>
          <w:lang w:val="vi-VN"/>
        </w:rPr>
        <w:t>Chính vì vậy</w:t>
      </w:r>
      <w:r w:rsidRPr="005E5122">
        <w:rPr>
          <w:rFonts w:ascii="Times New Roman" w:hAnsi="Times New Roman" w:cs="Times New Roman"/>
          <w:color w:val="000000" w:themeColor="text1"/>
          <w:sz w:val="24"/>
          <w:szCs w:val="24"/>
          <w:lang w:val="vi-VN"/>
        </w:rPr>
        <w:t>, ngày càng có nhiều cuộc tranh luận về việ</w:t>
      </w:r>
      <w:r w:rsidR="00621872">
        <w:rPr>
          <w:rFonts w:ascii="Times New Roman" w:hAnsi="Times New Roman" w:cs="Times New Roman"/>
          <w:color w:val="000000" w:themeColor="text1"/>
          <w:sz w:val="24"/>
          <w:szCs w:val="24"/>
          <w:lang w:val="vi-VN"/>
        </w:rPr>
        <w:t>c hoạch định</w:t>
      </w:r>
      <w:r w:rsidRPr="005E5122">
        <w:rPr>
          <w:rFonts w:ascii="Times New Roman" w:hAnsi="Times New Roman" w:cs="Times New Roman"/>
          <w:color w:val="000000" w:themeColor="text1"/>
          <w:sz w:val="24"/>
          <w:szCs w:val="24"/>
          <w:lang w:val="vi-VN"/>
        </w:rPr>
        <w:t xml:space="preserve"> lại các chính sách an ninh lương thực của Việt Nam, như nới lỏng các hạn chế đối với việc chuyển đổi cây trồng và cho phép giảm diện tích đất trồng lúa.</w:t>
      </w:r>
    </w:p>
    <w:p w14:paraId="18520BDD" w14:textId="7910D2F2" w:rsidR="00CA3886" w:rsidRPr="005E5122" w:rsidRDefault="00CA3886" w:rsidP="00FC617C">
      <w:pPr>
        <w:pStyle w:val="HTMLPreformatted"/>
        <w:spacing w:line="480" w:lineRule="auto"/>
        <w:ind w:firstLine="567"/>
        <w:jc w:val="both"/>
        <w:rPr>
          <w:rFonts w:ascii="Times New Roman" w:hAnsi="Times New Roman" w:cs="Times New Roman"/>
          <w:color w:val="000000" w:themeColor="text1"/>
          <w:sz w:val="24"/>
          <w:szCs w:val="24"/>
        </w:rPr>
      </w:pPr>
      <w:r w:rsidRPr="005E5122">
        <w:rPr>
          <w:rFonts w:ascii="Times New Roman" w:hAnsi="Times New Roman" w:cs="Times New Roman"/>
          <w:color w:val="000000" w:themeColor="text1"/>
          <w:sz w:val="24"/>
          <w:szCs w:val="24"/>
          <w:lang w:val="vi-VN"/>
        </w:rPr>
        <w:t>Để đo mức độ đa dạng hoá cây trồng ở nông thôn Việt Nam, chỉ số</w:t>
      </w:r>
      <w:r w:rsidR="00621872">
        <w:rPr>
          <w:rFonts w:ascii="Times New Roman" w:hAnsi="Times New Roman" w:cs="Times New Roman"/>
          <w:color w:val="000000" w:themeColor="text1"/>
          <w:sz w:val="24"/>
          <w:szCs w:val="24"/>
          <w:lang w:val="vi-VN"/>
        </w:rPr>
        <w:t xml:space="preserve"> Herfindahl (HI) được </w:t>
      </w:r>
      <w:r w:rsidR="00133A07">
        <w:rPr>
          <w:rFonts w:ascii="Times New Roman" w:hAnsi="Times New Roman" w:cs="Times New Roman"/>
          <w:color w:val="000000" w:themeColor="text1"/>
          <w:sz w:val="24"/>
          <w:szCs w:val="24"/>
          <w:lang w:val="vi-VN"/>
        </w:rPr>
        <w:t xml:space="preserve">bài nghiên cứu </w:t>
      </w:r>
      <w:r w:rsidR="00621872">
        <w:rPr>
          <w:rFonts w:ascii="Times New Roman" w:hAnsi="Times New Roman" w:cs="Times New Roman"/>
          <w:color w:val="000000" w:themeColor="text1"/>
          <w:sz w:val="24"/>
          <w:szCs w:val="24"/>
          <w:lang w:val="vi-VN"/>
        </w:rPr>
        <w:t>xây dựng</w:t>
      </w:r>
      <w:r w:rsidRPr="005E5122">
        <w:rPr>
          <w:rFonts w:ascii="Times New Roman" w:hAnsi="Times New Roman" w:cs="Times New Roman"/>
          <w:color w:val="000000" w:themeColor="text1"/>
          <w:sz w:val="24"/>
          <w:szCs w:val="24"/>
          <w:lang w:val="vi-VN"/>
        </w:rPr>
        <w:t>. Chỉ tiêu này được định nghĩa là tổng bình phương của diện tích hoặc tỷ lệ doanh thu của mỗi vụ trong tổng diệ</w:t>
      </w:r>
      <w:r w:rsidR="00621872">
        <w:rPr>
          <w:rFonts w:ascii="Times New Roman" w:hAnsi="Times New Roman" w:cs="Times New Roman"/>
          <w:color w:val="000000" w:themeColor="text1"/>
          <w:sz w:val="24"/>
          <w:szCs w:val="24"/>
          <w:lang w:val="vi-VN"/>
        </w:rPr>
        <w:t>n tích/</w:t>
      </w:r>
      <w:r w:rsidRPr="005E5122">
        <w:rPr>
          <w:rFonts w:ascii="Times New Roman" w:hAnsi="Times New Roman" w:cs="Times New Roman"/>
          <w:color w:val="000000" w:themeColor="text1"/>
          <w:sz w:val="24"/>
          <w:szCs w:val="24"/>
          <w:lang w:val="vi-VN"/>
        </w:rPr>
        <w:t>thu nhậ</w:t>
      </w:r>
      <w:r w:rsidR="00621872">
        <w:rPr>
          <w:rFonts w:ascii="Times New Roman" w:hAnsi="Times New Roman" w:cs="Times New Roman"/>
          <w:color w:val="000000" w:themeColor="text1"/>
          <w:sz w:val="24"/>
          <w:szCs w:val="24"/>
          <w:lang w:val="vi-VN"/>
        </w:rPr>
        <w:t>p</w:t>
      </w:r>
      <w:r w:rsidR="00ED473C">
        <w:rPr>
          <w:rFonts w:ascii="Times New Roman" w:hAnsi="Times New Roman" w:cs="Times New Roman"/>
          <w:color w:val="000000" w:themeColor="text1"/>
          <w:sz w:val="24"/>
          <w:szCs w:val="24"/>
          <w:lang w:val="vi-VN"/>
        </w:rPr>
        <w:t xml:space="preserve"> </w:t>
      </w:r>
      <w:r w:rsidR="00F61BCF">
        <w:rPr>
          <w:rFonts w:ascii="Times New Roman" w:hAnsi="Times New Roman" w:cs="Times New Roman"/>
          <w:color w:val="000000" w:themeColor="text1"/>
          <w:sz w:val="24"/>
          <w:szCs w:val="24"/>
          <w:lang w:val="vi-VN"/>
        </w:rPr>
        <w:t>[18</w:t>
      </w:r>
      <w:r w:rsidR="00F10220">
        <w:rPr>
          <w:rFonts w:ascii="Times New Roman" w:hAnsi="Times New Roman" w:cs="Times New Roman"/>
          <w:color w:val="000000" w:themeColor="text1"/>
          <w:sz w:val="24"/>
          <w:szCs w:val="24"/>
          <w:lang w:val="vi-VN"/>
        </w:rPr>
        <w:t>]</w:t>
      </w:r>
      <w:r w:rsidRPr="005E5122">
        <w:rPr>
          <w:rFonts w:ascii="Times New Roman" w:hAnsi="Times New Roman" w:cs="Times New Roman"/>
          <w:color w:val="000000" w:themeColor="text1"/>
          <w:sz w:val="24"/>
          <w:szCs w:val="24"/>
          <w:lang w:val="vi-VN"/>
        </w:rPr>
        <w:t>. Công thức chi tiết của HI áp dụ</w:t>
      </w:r>
      <w:r w:rsidR="00621872">
        <w:rPr>
          <w:rFonts w:ascii="Times New Roman" w:hAnsi="Times New Roman" w:cs="Times New Roman"/>
          <w:color w:val="000000" w:themeColor="text1"/>
          <w:sz w:val="24"/>
          <w:szCs w:val="24"/>
          <w:lang w:val="vi-VN"/>
        </w:rPr>
        <w:t>ng trong bài nghiên cứu</w:t>
      </w:r>
      <w:r w:rsidRPr="005E5122">
        <w:rPr>
          <w:rFonts w:ascii="Times New Roman" w:hAnsi="Times New Roman" w:cs="Times New Roman"/>
          <w:color w:val="000000" w:themeColor="text1"/>
          <w:sz w:val="24"/>
          <w:szCs w:val="24"/>
          <w:lang w:val="vi-VN"/>
        </w:rPr>
        <w:t xml:space="preserve"> này được mô tả như sau:</w:t>
      </w:r>
    </w:p>
    <w:p w14:paraId="1D3BFE22" w14:textId="6D791A15" w:rsidR="00A05186" w:rsidRPr="005E5122" w:rsidRDefault="00CA3886" w:rsidP="00FC617C">
      <w:pPr>
        <w:pStyle w:val="HTMLPreformatted"/>
        <w:spacing w:line="480" w:lineRule="auto"/>
        <w:ind w:firstLine="567"/>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HI=</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Cambria Math" w:cs="Times New Roman"/>
                                  <w:color w:val="000000" w:themeColor="text1"/>
                                  <w:sz w:val="24"/>
                                  <w:szCs w:val="24"/>
                                </w:rPr>
                                <m:t>i</m:t>
                              </m:r>
                            </m:sub>
                          </m:sSub>
                        </m:num>
                        <m:den>
                          <m:nary>
                            <m:naryPr>
                              <m:chr m:val="∑"/>
                              <m:limLoc m:val="subSup"/>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Cambria Math" w:cs="Times New Roman"/>
                                      <w:color w:val="000000" w:themeColor="text1"/>
                                      <w:sz w:val="24"/>
                                      <w:szCs w:val="24"/>
                                    </w:rPr>
                                    <m:t>i</m:t>
                                  </m:r>
                                </m:sub>
                              </m:sSub>
                            </m:e>
                          </m:nary>
                        </m:den>
                      </m:f>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0≤HI≤1</m:t>
              </m:r>
            </m:e>
          </m:nary>
        </m:oMath>
      </m:oMathPara>
    </w:p>
    <w:p w14:paraId="6DE81E84" w14:textId="7CE688F4" w:rsidR="00CA3886" w:rsidRDefault="00CA3886"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E5122">
        <w:rPr>
          <w:rFonts w:ascii="Times New Roman" w:hAnsi="Times New Roman" w:cs="Times New Roman"/>
          <w:color w:val="000000" w:themeColor="text1"/>
          <w:sz w:val="24"/>
          <w:szCs w:val="24"/>
          <w:lang w:val="vi-VN"/>
        </w:rPr>
        <w:t xml:space="preserve">Trong đó, mà </w:t>
      </w:r>
      <w:r w:rsidRPr="00133A07">
        <w:rPr>
          <w:rFonts w:ascii="Times New Roman" w:hAnsi="Times New Roman" w:cs="Times New Roman"/>
          <w:i/>
          <w:color w:val="000000" w:themeColor="text1"/>
          <w:sz w:val="24"/>
          <w:szCs w:val="24"/>
          <w:lang w:val="vi-VN"/>
        </w:rPr>
        <w:t>Yi</w:t>
      </w:r>
      <w:r w:rsidRPr="005E5122">
        <w:rPr>
          <w:rFonts w:ascii="Times New Roman" w:hAnsi="Times New Roman" w:cs="Times New Roman"/>
          <w:color w:val="000000" w:themeColor="text1"/>
          <w:sz w:val="24"/>
          <w:szCs w:val="24"/>
          <w:lang w:val="vi-VN"/>
        </w:rPr>
        <w:t xml:space="preserve"> đại diện cho chia sẻ thu nhậ</w:t>
      </w:r>
      <w:r w:rsidR="00621872">
        <w:rPr>
          <w:rFonts w:ascii="Times New Roman" w:hAnsi="Times New Roman" w:cs="Times New Roman"/>
          <w:color w:val="000000" w:themeColor="text1"/>
          <w:sz w:val="24"/>
          <w:szCs w:val="24"/>
          <w:lang w:val="vi-VN"/>
        </w:rPr>
        <w:t>p</w:t>
      </w:r>
      <w:r w:rsidRPr="005E5122">
        <w:rPr>
          <w:rFonts w:ascii="Times New Roman" w:hAnsi="Times New Roman" w:cs="Times New Roman"/>
          <w:color w:val="000000" w:themeColor="text1"/>
          <w:sz w:val="24"/>
          <w:szCs w:val="24"/>
          <w:lang w:val="vi-VN"/>
        </w:rPr>
        <w:t xml:space="preserve"> bởi vụ thứ </w:t>
      </w:r>
      <w:r w:rsidRPr="00133A07">
        <w:rPr>
          <w:rFonts w:ascii="Times New Roman" w:hAnsi="Times New Roman" w:cs="Times New Roman"/>
          <w:i/>
          <w:color w:val="000000" w:themeColor="text1"/>
          <w:sz w:val="24"/>
          <w:szCs w:val="24"/>
          <w:lang w:val="vi-VN"/>
        </w:rPr>
        <w:t>i</w:t>
      </w:r>
      <w:r w:rsidRPr="005E5122">
        <w:rPr>
          <w:rFonts w:ascii="Times New Roman" w:hAnsi="Times New Roman" w:cs="Times New Roman"/>
          <w:color w:val="000000" w:themeColor="text1"/>
          <w:sz w:val="24"/>
          <w:szCs w:val="24"/>
          <w:lang w:val="vi-VN"/>
        </w:rPr>
        <w:t xml:space="preserve"> trong tổng doanh thu </w:t>
      </w:r>
      <w:r w:rsidRPr="00133A07">
        <w:rPr>
          <w:rFonts w:ascii="Times New Roman" w:hAnsi="Times New Roman" w:cs="Times New Roman"/>
          <w:i/>
          <w:color w:val="000000" w:themeColor="text1"/>
          <w:sz w:val="24"/>
          <w:szCs w:val="24"/>
          <w:lang w:val="vi-VN"/>
        </w:rPr>
        <w:t>Y</w:t>
      </w:r>
      <w:r w:rsidRPr="005E5122">
        <w:rPr>
          <w:rFonts w:ascii="Times New Roman" w:hAnsi="Times New Roman" w:cs="Times New Roman"/>
          <w:color w:val="000000" w:themeColor="text1"/>
          <w:sz w:val="24"/>
          <w:szCs w:val="24"/>
          <w:lang w:val="vi-VN"/>
        </w:rPr>
        <w:t xml:space="preserve"> và </w:t>
      </w:r>
      <w:r w:rsidRPr="00133A07">
        <w:rPr>
          <w:rFonts w:ascii="Times New Roman" w:hAnsi="Times New Roman" w:cs="Times New Roman"/>
          <w:i/>
          <w:color w:val="000000" w:themeColor="text1"/>
          <w:sz w:val="24"/>
          <w:szCs w:val="24"/>
          <w:lang w:val="vi-VN"/>
        </w:rPr>
        <w:t>N</w:t>
      </w:r>
      <w:r w:rsidRPr="005E5122">
        <w:rPr>
          <w:rFonts w:ascii="Times New Roman" w:hAnsi="Times New Roman" w:cs="Times New Roman"/>
          <w:color w:val="000000" w:themeColor="text1"/>
          <w:sz w:val="24"/>
          <w:szCs w:val="24"/>
          <w:lang w:val="vi-VN"/>
        </w:rPr>
        <w:t xml:space="preserve"> là số lượng cây trồ</w:t>
      </w:r>
      <w:r w:rsidR="00133A07">
        <w:rPr>
          <w:rFonts w:ascii="Times New Roman" w:hAnsi="Times New Roman" w:cs="Times New Roman"/>
          <w:color w:val="000000" w:themeColor="text1"/>
          <w:sz w:val="24"/>
          <w:szCs w:val="24"/>
          <w:lang w:val="vi-VN"/>
        </w:rPr>
        <w:t>ng mà hộ thực hiện</w:t>
      </w:r>
      <w:r w:rsidRPr="005E5122">
        <w:rPr>
          <w:rFonts w:ascii="Times New Roman" w:hAnsi="Times New Roman" w:cs="Times New Roman"/>
          <w:color w:val="000000" w:themeColor="text1"/>
          <w:sz w:val="24"/>
          <w:szCs w:val="24"/>
          <w:lang w:val="vi-VN"/>
        </w:rPr>
        <w:t>. Giá trị bằ</w:t>
      </w:r>
      <w:r w:rsidR="00621872">
        <w:rPr>
          <w:rFonts w:ascii="Times New Roman" w:hAnsi="Times New Roman" w:cs="Times New Roman"/>
          <w:color w:val="000000" w:themeColor="text1"/>
          <w:sz w:val="24"/>
          <w:szCs w:val="24"/>
          <w:lang w:val="vi-VN"/>
        </w:rPr>
        <w:t>ng 0</w:t>
      </w:r>
      <w:r w:rsidRPr="005E5122">
        <w:rPr>
          <w:rFonts w:ascii="Times New Roman" w:hAnsi="Times New Roman" w:cs="Times New Roman"/>
          <w:color w:val="000000" w:themeColor="text1"/>
          <w:sz w:val="24"/>
          <w:szCs w:val="24"/>
          <w:lang w:val="vi-VN"/>
        </w:rPr>
        <w:t xml:space="preserve"> phản ánh sự đa dạ</w:t>
      </w:r>
      <w:r w:rsidR="00133A07">
        <w:rPr>
          <w:rFonts w:ascii="Times New Roman" w:hAnsi="Times New Roman" w:cs="Times New Roman"/>
          <w:color w:val="000000" w:themeColor="text1"/>
          <w:sz w:val="24"/>
          <w:szCs w:val="24"/>
          <w:lang w:val="vi-VN"/>
        </w:rPr>
        <w:t>ng hoàn toàn</w:t>
      </w:r>
      <w:r w:rsidRPr="005E5122">
        <w:rPr>
          <w:rFonts w:ascii="Times New Roman" w:hAnsi="Times New Roman" w:cs="Times New Roman"/>
          <w:color w:val="000000" w:themeColor="text1"/>
          <w:sz w:val="24"/>
          <w:szCs w:val="24"/>
          <w:lang w:val="vi-VN"/>
        </w:rPr>
        <w:t xml:space="preserve"> và </w:t>
      </w:r>
      <w:r w:rsidR="00621872">
        <w:rPr>
          <w:rFonts w:ascii="Times New Roman" w:hAnsi="Times New Roman" w:cs="Times New Roman"/>
          <w:color w:val="000000" w:themeColor="text1"/>
          <w:sz w:val="24"/>
          <w:szCs w:val="24"/>
          <w:lang w:val="vi-VN"/>
        </w:rPr>
        <w:t xml:space="preserve">1 </w:t>
      </w:r>
      <w:r w:rsidRPr="005E5122">
        <w:rPr>
          <w:rFonts w:ascii="Times New Roman" w:hAnsi="Times New Roman" w:cs="Times New Roman"/>
          <w:color w:val="000000" w:themeColor="text1"/>
          <w:sz w:val="24"/>
          <w:szCs w:val="24"/>
          <w:lang w:val="vi-VN"/>
        </w:rPr>
        <w:t>phản ánh sự chuyên môn hoà</w:t>
      </w:r>
      <w:r w:rsidR="00133A07">
        <w:rPr>
          <w:rFonts w:ascii="Times New Roman" w:hAnsi="Times New Roman" w:cs="Times New Roman"/>
          <w:color w:val="000000" w:themeColor="text1"/>
          <w:sz w:val="24"/>
          <w:szCs w:val="24"/>
          <w:lang w:val="vi-VN"/>
        </w:rPr>
        <w:t>n toàn</w:t>
      </w:r>
      <w:r w:rsidRPr="005E5122">
        <w:rPr>
          <w:rFonts w:ascii="Times New Roman" w:hAnsi="Times New Roman" w:cs="Times New Roman"/>
          <w:color w:val="000000" w:themeColor="text1"/>
          <w:sz w:val="24"/>
          <w:szCs w:val="24"/>
          <w:lang w:val="vi-VN"/>
        </w:rPr>
        <w:t xml:space="preserve"> (chỉ có mộ</w:t>
      </w:r>
      <w:r w:rsidR="00133A07">
        <w:rPr>
          <w:rFonts w:ascii="Times New Roman" w:hAnsi="Times New Roman" w:cs="Times New Roman"/>
          <w:color w:val="000000" w:themeColor="text1"/>
          <w:sz w:val="24"/>
          <w:szCs w:val="24"/>
          <w:lang w:val="vi-VN"/>
        </w:rPr>
        <w:t>t loại cây trồng duy nhất</w:t>
      </w:r>
      <w:r w:rsidRPr="005E5122">
        <w:rPr>
          <w:rFonts w:ascii="Times New Roman" w:hAnsi="Times New Roman" w:cs="Times New Roman"/>
          <w:color w:val="000000" w:themeColor="text1"/>
          <w:sz w:val="24"/>
          <w:szCs w:val="24"/>
          <w:lang w:val="vi-VN"/>
        </w:rPr>
        <w:t>).</w:t>
      </w:r>
    </w:p>
    <w:p w14:paraId="2FFE7576" w14:textId="1055DF5A" w:rsidR="00621872" w:rsidRPr="00CE41F3" w:rsidRDefault="00C26637" w:rsidP="00FC617C">
      <w:pPr>
        <w:spacing w:line="480" w:lineRule="auto"/>
        <w:ind w:firstLine="567"/>
        <w:jc w:val="both"/>
        <w:rPr>
          <w:rFonts w:ascii="Times New Roman" w:hAnsi="Times New Roman" w:cs="Times New Roman"/>
          <w:b/>
          <w:vertAlign w:val="superscript"/>
          <w:lang w:val="en-US"/>
        </w:rPr>
      </w:pPr>
      <w:r>
        <w:rPr>
          <w:rFonts w:ascii="Times New Roman" w:hAnsi="Times New Roman" w:cs="Times New Roman"/>
          <w:lang w:val="en-US"/>
        </w:rPr>
        <w:t>Hình 4.</w:t>
      </w:r>
      <w:r w:rsidR="00621872">
        <w:rPr>
          <w:rFonts w:ascii="Times New Roman" w:hAnsi="Times New Roman" w:cs="Times New Roman"/>
          <w:lang w:val="en-US"/>
        </w:rPr>
        <w:t xml:space="preserve"> </w:t>
      </w:r>
      <w:r>
        <w:rPr>
          <w:rFonts w:ascii="Times New Roman" w:hAnsi="Times New Roman" w:cs="Times New Roman"/>
          <w:lang w:val="en-US"/>
        </w:rPr>
        <w:t xml:space="preserve">Chỉ số đa dạng hoá </w:t>
      </w:r>
      <w:r w:rsidR="00133A07">
        <w:rPr>
          <w:rFonts w:ascii="Times New Roman" w:hAnsi="Times New Roman" w:cs="Times New Roman"/>
          <w:lang w:val="en-US"/>
        </w:rPr>
        <w:t xml:space="preserve">cơ cấu </w:t>
      </w:r>
      <w:r>
        <w:rPr>
          <w:rFonts w:ascii="Times New Roman" w:hAnsi="Times New Roman" w:cs="Times New Roman"/>
          <w:lang w:val="en-US"/>
        </w:rPr>
        <w:t>cây trồng</w:t>
      </w:r>
      <w:r w:rsidR="00F26DF6">
        <w:rPr>
          <w:rFonts w:ascii="Times New Roman" w:hAnsi="Times New Roman" w:cs="Times New Roman"/>
          <w:lang w:val="en-US"/>
        </w:rPr>
        <w:t xml:space="preserve"> (Herfindahl)</w:t>
      </w:r>
      <w:r>
        <w:rPr>
          <w:rFonts w:ascii="Times New Roman" w:hAnsi="Times New Roman" w:cs="Times New Roman"/>
          <w:lang w:val="en-US"/>
        </w:rPr>
        <w:t xml:space="preserve"> hàng năm theo vùng của hộ gia đình, 2012</w:t>
      </w:r>
    </w:p>
    <w:p w14:paraId="38347135" w14:textId="7261318A" w:rsidR="00F26DF6" w:rsidRDefault="00F26DF6" w:rsidP="00FC617C">
      <w:pPr>
        <w:pStyle w:val="HTMLPreformatted"/>
        <w:spacing w:line="480" w:lineRule="auto"/>
        <w:ind w:firstLine="567"/>
        <w:jc w:val="both"/>
        <w:rPr>
          <w:rFonts w:ascii="Times New Roman" w:hAnsi="Times New Roman" w:cs="Times New Roman"/>
          <w:spacing w:val="-2"/>
        </w:rPr>
      </w:pPr>
      <w:r>
        <w:rPr>
          <w:noProof/>
        </w:rPr>
        <w:lastRenderedPageBreak/>
        <w:drawing>
          <wp:inline distT="0" distB="0" distL="0" distR="0" wp14:anchorId="15B65D4B" wp14:editId="120DC2FC">
            <wp:extent cx="5441950" cy="2490763"/>
            <wp:effectExtent l="0" t="0" r="1905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046E0A" w14:textId="7BBA7CF7" w:rsidR="00621872" w:rsidRPr="00133A07" w:rsidRDefault="002D5C7E" w:rsidP="00FC617C">
      <w:pPr>
        <w:pStyle w:val="HTMLPreformatted"/>
        <w:spacing w:line="480" w:lineRule="auto"/>
        <w:ind w:left="567"/>
        <w:jc w:val="both"/>
        <w:rPr>
          <w:rFonts w:ascii="Times New Roman" w:hAnsi="Times New Roman" w:cs="Times New Roman"/>
          <w:color w:val="000000" w:themeColor="text1"/>
          <w:sz w:val="24"/>
          <w:szCs w:val="24"/>
          <w:lang w:val="vi-VN"/>
        </w:rPr>
      </w:pPr>
      <w:r w:rsidRPr="00133A07">
        <w:rPr>
          <w:rFonts w:ascii="Times New Roman" w:hAnsi="Times New Roman" w:cs="Times New Roman"/>
          <w:spacing w:val="-2"/>
        </w:rPr>
        <w:t>Nguồn</w:t>
      </w:r>
      <w:r w:rsidR="00621872" w:rsidRPr="00133A07">
        <w:rPr>
          <w:rFonts w:ascii="Times New Roman" w:hAnsi="Times New Roman" w:cs="Times New Roman"/>
          <w:spacing w:val="-2"/>
        </w:rPr>
        <w:t xml:space="preserve">: </w:t>
      </w:r>
      <w:r w:rsidR="00C26637" w:rsidRPr="00133A07">
        <w:rPr>
          <w:rFonts w:ascii="Times New Roman" w:hAnsi="Times New Roman" w:cs="Times New Roman"/>
          <w:spacing w:val="-2"/>
        </w:rPr>
        <w:t xml:space="preserve">Tính toán từ Dữ liệu điều tra mức sống hộ gia đình năm 2012, Tổng cục thống kê. </w:t>
      </w:r>
    </w:p>
    <w:p w14:paraId="568FA0C9" w14:textId="647B867C" w:rsidR="00581FB3" w:rsidRDefault="00133A07" w:rsidP="00FC617C">
      <w:pPr>
        <w:pStyle w:val="HTMLPreformatted"/>
        <w:spacing w:line="480" w:lineRule="auto"/>
        <w:ind w:firstLine="567"/>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Hình 4</w:t>
      </w:r>
      <w:r w:rsidR="00CA3886" w:rsidRPr="005E5122">
        <w:rPr>
          <w:rFonts w:ascii="Times New Roman" w:hAnsi="Times New Roman" w:cs="Times New Roman"/>
          <w:color w:val="000000" w:themeColor="text1"/>
          <w:sz w:val="24"/>
          <w:szCs w:val="24"/>
          <w:lang w:val="vi-VN"/>
        </w:rPr>
        <w:t xml:space="preserve"> mô tả danh mục đa dạng cây trồng hàng năm theo vùng ở Việt Nam. Trung bình mẫu của chỉ số Herfindahl là 0,64. Đồng bằng sông Cửu Long, trung tâm sản xuất lúa gạo ở Việt Nam, có chỉ số Herfindahl cao nhất. Ngược lại, đa dạng hoá cây trồng chủ yếu xảy ra ở các vùng phía Bắc. Các hộ gia đình ở khu vực Tây Bắc sản xuất nhiều loại cây trồng hơn các vùng khác, và chỉ số</w:t>
      </w:r>
      <w:r w:rsidR="00CE5E53">
        <w:rPr>
          <w:rFonts w:ascii="Times New Roman" w:hAnsi="Times New Roman" w:cs="Times New Roman"/>
          <w:color w:val="000000" w:themeColor="text1"/>
          <w:sz w:val="24"/>
          <w:szCs w:val="24"/>
          <w:lang w:val="vi-VN"/>
        </w:rPr>
        <w:t xml:space="preserve"> Herfindahl là 0,57. Trong số</w:t>
      </w:r>
      <w:r w:rsidR="00CA3886" w:rsidRPr="005E5122">
        <w:rPr>
          <w:rFonts w:ascii="Times New Roman" w:hAnsi="Times New Roman" w:cs="Times New Roman"/>
          <w:color w:val="000000" w:themeColor="text1"/>
          <w:sz w:val="24"/>
          <w:szCs w:val="24"/>
          <w:lang w:val="vi-VN"/>
        </w:rPr>
        <w:t xml:space="preserve"> các hộ nông dân trồng lúa,</w:t>
      </w:r>
      <w:r w:rsidR="00CE5E53">
        <w:rPr>
          <w:rFonts w:ascii="Times New Roman" w:hAnsi="Times New Roman" w:cs="Times New Roman"/>
          <w:color w:val="000000" w:themeColor="text1"/>
          <w:sz w:val="24"/>
          <w:szCs w:val="24"/>
          <w:lang w:val="vi-VN"/>
        </w:rPr>
        <w:t xml:space="preserve"> tỷ lệ</w:t>
      </w:r>
      <w:r w:rsidR="00CA3886" w:rsidRPr="005E5122">
        <w:rPr>
          <w:rFonts w:ascii="Times New Roman" w:hAnsi="Times New Roman" w:cs="Times New Roman"/>
          <w:color w:val="000000" w:themeColor="text1"/>
          <w:sz w:val="24"/>
          <w:szCs w:val="24"/>
          <w:lang w:val="vi-VN"/>
        </w:rPr>
        <w:t xml:space="preserve"> hộ trồng </w:t>
      </w:r>
      <w:r w:rsidR="00CE5E53">
        <w:rPr>
          <w:rFonts w:ascii="Times New Roman" w:hAnsi="Times New Roman" w:cs="Times New Roman"/>
          <w:color w:val="000000" w:themeColor="text1"/>
          <w:sz w:val="24"/>
          <w:szCs w:val="24"/>
          <w:lang w:val="vi-VN"/>
        </w:rPr>
        <w:t xml:space="preserve">thêm </w:t>
      </w:r>
      <w:r w:rsidR="00CA3886" w:rsidRPr="005E5122">
        <w:rPr>
          <w:rFonts w:ascii="Times New Roman" w:hAnsi="Times New Roman" w:cs="Times New Roman"/>
          <w:color w:val="000000" w:themeColor="text1"/>
          <w:sz w:val="24"/>
          <w:szCs w:val="24"/>
          <w:lang w:val="vi-VN"/>
        </w:rPr>
        <w:t xml:space="preserve">rau chiếm 78,68%. Số hộ sản xuất </w:t>
      </w:r>
      <w:r w:rsidR="00CE5E53">
        <w:rPr>
          <w:rFonts w:ascii="Times New Roman" w:hAnsi="Times New Roman" w:cs="Times New Roman"/>
          <w:color w:val="000000" w:themeColor="text1"/>
          <w:sz w:val="24"/>
          <w:szCs w:val="24"/>
          <w:lang w:val="vi-VN"/>
        </w:rPr>
        <w:t xml:space="preserve">thêm </w:t>
      </w:r>
      <w:r w:rsidR="00CA3886" w:rsidRPr="005E5122">
        <w:rPr>
          <w:rFonts w:ascii="Times New Roman" w:hAnsi="Times New Roman" w:cs="Times New Roman"/>
          <w:color w:val="000000" w:themeColor="text1"/>
          <w:sz w:val="24"/>
          <w:szCs w:val="24"/>
          <w:lang w:val="vi-VN"/>
        </w:rPr>
        <w:t>cây lương thự</w:t>
      </w:r>
      <w:r w:rsidR="00CE5E53">
        <w:rPr>
          <w:rFonts w:ascii="Times New Roman" w:hAnsi="Times New Roman" w:cs="Times New Roman"/>
          <w:color w:val="000000" w:themeColor="text1"/>
          <w:sz w:val="24"/>
          <w:szCs w:val="24"/>
          <w:lang w:val="vi-VN"/>
        </w:rPr>
        <w:t xml:space="preserve">c </w:t>
      </w:r>
      <w:r w:rsidR="00CA3886" w:rsidRPr="005E5122">
        <w:rPr>
          <w:rFonts w:ascii="Times New Roman" w:hAnsi="Times New Roman" w:cs="Times New Roman"/>
          <w:color w:val="000000" w:themeColor="text1"/>
          <w:sz w:val="24"/>
          <w:szCs w:val="24"/>
          <w:lang w:val="vi-VN"/>
        </w:rPr>
        <w:t>chiếm 73,35% tổng số hộ. Chỉ có 38,12% hộ gia đình trồng cây công nghiệp hàng năm. 70,2% hộ gia đình đa dạng hoá cây trồ</w:t>
      </w:r>
      <w:r w:rsidR="00C0156C">
        <w:rPr>
          <w:rFonts w:ascii="Times New Roman" w:hAnsi="Times New Roman" w:cs="Times New Roman"/>
          <w:color w:val="000000" w:themeColor="text1"/>
          <w:sz w:val="24"/>
          <w:szCs w:val="24"/>
          <w:lang w:val="vi-VN"/>
        </w:rPr>
        <w:t xml:space="preserve">ng và chỉ có </w:t>
      </w:r>
      <w:r w:rsidR="00CA3886" w:rsidRPr="005E5122">
        <w:rPr>
          <w:rFonts w:ascii="Times New Roman" w:hAnsi="Times New Roman" w:cs="Times New Roman"/>
          <w:color w:val="000000" w:themeColor="text1"/>
          <w:sz w:val="24"/>
          <w:szCs w:val="24"/>
          <w:lang w:val="vi-VN"/>
        </w:rPr>
        <w:t xml:space="preserve">29,8% hộ gia đình chỉ sản xuất </w:t>
      </w:r>
      <w:r w:rsidR="00C0156C">
        <w:rPr>
          <w:rFonts w:ascii="Times New Roman" w:hAnsi="Times New Roman" w:cs="Times New Roman"/>
          <w:color w:val="000000" w:themeColor="text1"/>
          <w:sz w:val="24"/>
          <w:szCs w:val="24"/>
          <w:lang w:val="vi-VN"/>
        </w:rPr>
        <w:t xml:space="preserve">lúa </w:t>
      </w:r>
      <w:r w:rsidR="00CA3886" w:rsidRPr="005E5122">
        <w:rPr>
          <w:rFonts w:ascii="Times New Roman" w:hAnsi="Times New Roman" w:cs="Times New Roman"/>
          <w:color w:val="000000" w:themeColor="text1"/>
          <w:sz w:val="24"/>
          <w:szCs w:val="24"/>
          <w:lang w:val="vi-VN"/>
        </w:rPr>
        <w:t>gạo.</w:t>
      </w:r>
    </w:p>
    <w:p w14:paraId="15ED4519" w14:textId="77777777" w:rsidR="00F95505" w:rsidRDefault="00F95505"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A809B29" w14:textId="77777777" w:rsidR="00F95505" w:rsidRDefault="00F95505"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2CD4DE2" w14:textId="77777777" w:rsidR="00F95505" w:rsidRDefault="00F95505"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5931B6B5" w14:textId="77777777" w:rsidR="00F95505" w:rsidRPr="005E5122" w:rsidRDefault="00F95505" w:rsidP="00FC617C">
      <w:pPr>
        <w:pStyle w:val="HTMLPreformatted"/>
        <w:spacing w:line="480" w:lineRule="auto"/>
        <w:ind w:firstLine="567"/>
        <w:jc w:val="both"/>
        <w:rPr>
          <w:rFonts w:ascii="Times New Roman" w:hAnsi="Times New Roman" w:cs="Times New Roman"/>
          <w:color w:val="000000" w:themeColor="text1"/>
          <w:sz w:val="24"/>
          <w:szCs w:val="24"/>
          <w:lang w:val="vi-VN"/>
        </w:rPr>
      </w:pPr>
    </w:p>
    <w:p w14:paraId="405B26D2" w14:textId="4344E168" w:rsidR="00CA3886" w:rsidRPr="00581FB3" w:rsidRDefault="00621872" w:rsidP="00FC617C">
      <w:pPr>
        <w:spacing w:line="480" w:lineRule="auto"/>
        <w:ind w:firstLine="567"/>
        <w:jc w:val="center"/>
        <w:rPr>
          <w:rFonts w:ascii="Times New Roman" w:hAnsi="Times New Roman" w:cs="Times New Roman"/>
          <w:color w:val="000000" w:themeColor="text1"/>
        </w:rPr>
      </w:pPr>
      <w:r w:rsidRPr="00581FB3">
        <w:rPr>
          <w:rFonts w:ascii="Times New Roman" w:hAnsi="Times New Roman" w:cs="Times New Roman"/>
          <w:color w:val="000000" w:themeColor="text1"/>
        </w:rPr>
        <w:t xml:space="preserve">Hình </w:t>
      </w:r>
      <w:r w:rsidR="00C26637" w:rsidRPr="00581FB3">
        <w:rPr>
          <w:rFonts w:ascii="Times New Roman" w:hAnsi="Times New Roman" w:cs="Times New Roman"/>
          <w:color w:val="000000" w:themeColor="text1"/>
        </w:rPr>
        <w:t>5</w:t>
      </w:r>
      <w:r w:rsidRPr="00581FB3">
        <w:rPr>
          <w:rFonts w:ascii="Times New Roman" w:hAnsi="Times New Roman" w:cs="Times New Roman"/>
          <w:color w:val="000000" w:themeColor="text1"/>
        </w:rPr>
        <w:t>.</w:t>
      </w:r>
      <w:r w:rsidR="00CA3886" w:rsidRPr="00581FB3">
        <w:rPr>
          <w:rFonts w:ascii="Times New Roman" w:hAnsi="Times New Roman" w:cs="Times New Roman"/>
          <w:color w:val="000000" w:themeColor="text1"/>
        </w:rPr>
        <w:t xml:space="preserve"> </w:t>
      </w:r>
      <w:r w:rsidRPr="00581FB3">
        <w:rPr>
          <w:rFonts w:ascii="Times New Roman" w:hAnsi="Times New Roman" w:cs="Times New Roman"/>
          <w:color w:val="000000" w:themeColor="text1"/>
        </w:rPr>
        <w:t>Mô hình sử dụng đất nông nghiệp của hộ gia đình</w:t>
      </w:r>
    </w:p>
    <w:p w14:paraId="03ED1F3C" w14:textId="77777777" w:rsidR="00CA3886" w:rsidRPr="005E5122" w:rsidRDefault="00CA3886" w:rsidP="00FC617C">
      <w:pPr>
        <w:spacing w:line="480" w:lineRule="auto"/>
        <w:ind w:firstLine="567"/>
        <w:jc w:val="both"/>
        <w:rPr>
          <w:rFonts w:ascii="Times New Roman" w:hAnsi="Times New Roman" w:cs="Times New Roman"/>
          <w:color w:val="000000" w:themeColor="text1"/>
        </w:rPr>
      </w:pPr>
      <w:r w:rsidRPr="005E5122">
        <w:rPr>
          <w:rFonts w:ascii="Times New Roman" w:hAnsi="Times New Roman" w:cs="Times New Roman"/>
          <w:noProof/>
          <w:color w:val="000000" w:themeColor="text1"/>
          <w:lang w:val="en-US"/>
        </w:rPr>
        <w:lastRenderedPageBreak/>
        <w:drawing>
          <wp:inline distT="0" distB="0" distL="0" distR="0" wp14:anchorId="0A87E1D1" wp14:editId="19EEB837">
            <wp:extent cx="5486400" cy="2076474"/>
            <wp:effectExtent l="0" t="0" r="0" b="6350"/>
            <wp:docPr id="2" name="Chart 10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D3E536" w14:textId="6AF64C76" w:rsidR="00CA3886" w:rsidRPr="00581FB3" w:rsidRDefault="00F53E1F" w:rsidP="00FC617C">
      <w:pPr>
        <w:spacing w:line="480" w:lineRule="auto"/>
        <w:ind w:firstLine="567"/>
        <w:jc w:val="both"/>
        <w:rPr>
          <w:rFonts w:ascii="Times New Roman" w:hAnsi="Times New Roman" w:cs="Times New Roman"/>
          <w:color w:val="000000" w:themeColor="text1"/>
          <w:sz w:val="20"/>
          <w:szCs w:val="20"/>
          <w:lang w:val="en-US"/>
        </w:rPr>
      </w:pPr>
      <w:r w:rsidRPr="00581FB3">
        <w:rPr>
          <w:rFonts w:ascii="Times New Roman" w:hAnsi="Times New Roman" w:cs="Times New Roman"/>
          <w:color w:val="000000" w:themeColor="text1"/>
          <w:sz w:val="20"/>
          <w:szCs w:val="20"/>
          <w:lang w:val="en-US"/>
        </w:rPr>
        <w:t>Chú ý</w:t>
      </w:r>
      <w:r w:rsidR="00621872" w:rsidRPr="00581FB3">
        <w:rPr>
          <w:rFonts w:ascii="Times New Roman" w:hAnsi="Times New Roman" w:cs="Times New Roman"/>
          <w:color w:val="000000" w:themeColor="text1"/>
          <w:sz w:val="20"/>
          <w:szCs w:val="20"/>
          <w:lang w:val="en-US"/>
        </w:rPr>
        <w:t>: (a) = lúa; (b) = rau</w:t>
      </w:r>
      <w:r w:rsidR="00CC1C64" w:rsidRPr="00581FB3">
        <w:rPr>
          <w:rFonts w:ascii="Times New Roman" w:hAnsi="Times New Roman" w:cs="Times New Roman"/>
          <w:color w:val="000000" w:themeColor="text1"/>
          <w:sz w:val="20"/>
          <w:szCs w:val="20"/>
          <w:lang w:val="en-US"/>
        </w:rPr>
        <w:t>; (c) = cây lương thực</w:t>
      </w:r>
      <w:r w:rsidR="00CE5E53" w:rsidRPr="00581FB3">
        <w:rPr>
          <w:rFonts w:ascii="Times New Roman" w:hAnsi="Times New Roman" w:cs="Times New Roman"/>
          <w:color w:val="000000" w:themeColor="text1"/>
          <w:sz w:val="20"/>
          <w:szCs w:val="20"/>
          <w:lang w:val="en-US"/>
        </w:rPr>
        <w:t xml:space="preserve"> khác ngoài lúa</w:t>
      </w:r>
      <w:r w:rsidR="00CA3886" w:rsidRPr="00581FB3">
        <w:rPr>
          <w:rFonts w:ascii="Times New Roman" w:hAnsi="Times New Roman" w:cs="Times New Roman"/>
          <w:color w:val="000000" w:themeColor="text1"/>
          <w:sz w:val="20"/>
          <w:szCs w:val="20"/>
          <w:lang w:val="en-US"/>
        </w:rPr>
        <w:t xml:space="preserve">; (d) = </w:t>
      </w:r>
      <w:r w:rsidR="00621872" w:rsidRPr="00581FB3">
        <w:rPr>
          <w:rFonts w:ascii="Times New Roman" w:hAnsi="Times New Roman" w:cs="Times New Roman"/>
          <w:color w:val="000000" w:themeColor="text1"/>
          <w:sz w:val="20"/>
          <w:szCs w:val="20"/>
          <w:lang w:val="en-US"/>
        </w:rPr>
        <w:t>cây công nghiệp hàng năm</w:t>
      </w:r>
    </w:p>
    <w:p w14:paraId="6125EDCD" w14:textId="657F4E3F" w:rsidR="00CA3886" w:rsidRPr="00015FBB" w:rsidRDefault="00C0156C" w:rsidP="00FC617C">
      <w:pPr>
        <w:pStyle w:val="HTMLPreformatted"/>
        <w:spacing w:line="480" w:lineRule="auto"/>
        <w:ind w:firstLine="567"/>
        <w:jc w:val="both"/>
        <w:rPr>
          <w:rFonts w:ascii="Times New Roman" w:hAnsi="Times New Roman" w:cs="Times New Roman"/>
          <w:color w:val="000000" w:themeColor="text1"/>
          <w:sz w:val="24"/>
          <w:szCs w:val="24"/>
          <w:lang w:val="vi-VN"/>
        </w:rPr>
      </w:pPr>
      <w:r w:rsidRPr="00581FB3">
        <w:rPr>
          <w:rFonts w:ascii="Times New Roman" w:hAnsi="Times New Roman" w:cs="Times New Roman"/>
          <w:spacing w:val="-2"/>
        </w:rPr>
        <w:t xml:space="preserve">Nguồn: Tính toán từ Dữ liệu điều tra mức sống hộ gia đình năm 2012, Tổng cục thống kê. </w:t>
      </w:r>
    </w:p>
    <w:p w14:paraId="657B5E40" w14:textId="0EA21B65" w:rsidR="00CA3886" w:rsidRDefault="00ED473C" w:rsidP="00FC617C">
      <w:pPr>
        <w:pStyle w:val="HTMLPreformatted"/>
        <w:spacing w:line="480" w:lineRule="auto"/>
        <w:ind w:firstLine="567"/>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Theo</w:t>
      </w:r>
      <w:r w:rsidR="00F61BCF">
        <w:rPr>
          <w:rFonts w:ascii="Times New Roman" w:hAnsi="Times New Roman" w:cs="Times New Roman"/>
          <w:color w:val="000000" w:themeColor="text1"/>
          <w:sz w:val="24"/>
          <w:szCs w:val="24"/>
          <w:lang w:val="vi-VN"/>
        </w:rPr>
        <w:t xml:space="preserve"> [1</w:t>
      </w:r>
      <w:r w:rsidR="00F10220">
        <w:rPr>
          <w:rFonts w:ascii="Times New Roman" w:hAnsi="Times New Roman" w:cs="Times New Roman"/>
          <w:color w:val="000000" w:themeColor="text1"/>
          <w:sz w:val="24"/>
          <w:szCs w:val="24"/>
          <w:lang w:val="vi-VN"/>
        </w:rPr>
        <w:t>]</w:t>
      </w:r>
      <w:r w:rsidR="00CA3886" w:rsidRPr="005E5122">
        <w:rPr>
          <w:rFonts w:ascii="Times New Roman" w:hAnsi="Times New Roman" w:cs="Times New Roman"/>
          <w:color w:val="000000" w:themeColor="text1"/>
          <w:sz w:val="24"/>
          <w:szCs w:val="24"/>
          <w:lang w:val="vi-VN"/>
        </w:rPr>
        <w:t xml:space="preserve">, cả nước có 6,4 triệu ha </w:t>
      </w:r>
      <w:r w:rsidR="00CE5E53">
        <w:rPr>
          <w:rFonts w:ascii="Times New Roman" w:hAnsi="Times New Roman" w:cs="Times New Roman"/>
          <w:color w:val="000000" w:themeColor="text1"/>
          <w:sz w:val="24"/>
          <w:szCs w:val="24"/>
          <w:lang w:val="vi-VN"/>
        </w:rPr>
        <w:t xml:space="preserve">trồng </w:t>
      </w:r>
      <w:r w:rsidR="00CA3886" w:rsidRPr="005E5122">
        <w:rPr>
          <w:rFonts w:ascii="Times New Roman" w:hAnsi="Times New Roman" w:cs="Times New Roman"/>
          <w:color w:val="000000" w:themeColor="text1"/>
          <w:sz w:val="24"/>
          <w:szCs w:val="24"/>
          <w:lang w:val="vi-VN"/>
        </w:rPr>
        <w:t>cây hàng năm, trong đó đất ruộng chiếm 63,97% (4,12 triệu ha). Có nhiều mô hình sử dụng đấ</w:t>
      </w:r>
      <w:r w:rsidR="00D37A67">
        <w:rPr>
          <w:rFonts w:ascii="Times New Roman" w:hAnsi="Times New Roman" w:cs="Times New Roman"/>
          <w:color w:val="000000" w:themeColor="text1"/>
          <w:sz w:val="24"/>
          <w:szCs w:val="24"/>
          <w:lang w:val="vi-VN"/>
        </w:rPr>
        <w:t>t khác nhau của hộ gia đình trong Dữ liệu Điều tra mức sống hộ gia đình năm 2012 của Tổng cục Thống kê</w:t>
      </w:r>
      <w:r w:rsidR="00CA3886" w:rsidRPr="005E5122">
        <w:rPr>
          <w:rFonts w:ascii="Times New Roman" w:hAnsi="Times New Roman" w:cs="Times New Roman"/>
          <w:color w:val="000000" w:themeColor="text1"/>
          <w:sz w:val="24"/>
          <w:szCs w:val="24"/>
          <w:lang w:val="vi-VN"/>
        </w:rPr>
        <w:t>. Các mô hình sử dụng đất cho các loại cây trồng khác nhau được chia thành bảy loạ</w:t>
      </w:r>
      <w:r w:rsidR="00D37A67">
        <w:rPr>
          <w:rFonts w:ascii="Times New Roman" w:hAnsi="Times New Roman" w:cs="Times New Roman"/>
          <w:color w:val="000000" w:themeColor="text1"/>
          <w:sz w:val="24"/>
          <w:szCs w:val="24"/>
          <w:lang w:val="vi-VN"/>
        </w:rPr>
        <w:t>i. Như được chỉ ra trong Hình 5</w:t>
      </w:r>
      <w:r w:rsidR="00CA3886" w:rsidRPr="005E5122">
        <w:rPr>
          <w:rFonts w:ascii="Times New Roman" w:hAnsi="Times New Roman" w:cs="Times New Roman"/>
          <w:color w:val="000000" w:themeColor="text1"/>
          <w:sz w:val="24"/>
          <w:szCs w:val="24"/>
          <w:lang w:val="vi-VN"/>
        </w:rPr>
        <w:t>, số hộ sản xuất gạo, rau và cây lương thự</w:t>
      </w:r>
      <w:r w:rsidR="00D37A67">
        <w:rPr>
          <w:rFonts w:ascii="Times New Roman" w:hAnsi="Times New Roman" w:cs="Times New Roman"/>
          <w:color w:val="000000" w:themeColor="text1"/>
          <w:sz w:val="24"/>
          <w:szCs w:val="24"/>
          <w:lang w:val="vi-VN"/>
        </w:rPr>
        <w:t>c ngoài lúa</w:t>
      </w:r>
      <w:r w:rsidR="00CA3886" w:rsidRPr="005E5122">
        <w:rPr>
          <w:rFonts w:ascii="Times New Roman" w:hAnsi="Times New Roman" w:cs="Times New Roman"/>
          <w:color w:val="000000" w:themeColor="text1"/>
          <w:sz w:val="24"/>
          <w:szCs w:val="24"/>
          <w:lang w:val="vi-VN"/>
        </w:rPr>
        <w:t xml:space="preserve"> chiếm 29,6%, Số trang trại trồng lúa gạo và cây trồ</w:t>
      </w:r>
      <w:r w:rsidR="00D37A67">
        <w:rPr>
          <w:rFonts w:ascii="Times New Roman" w:hAnsi="Times New Roman" w:cs="Times New Roman"/>
          <w:color w:val="000000" w:themeColor="text1"/>
          <w:sz w:val="24"/>
          <w:szCs w:val="24"/>
          <w:lang w:val="vi-VN"/>
        </w:rPr>
        <w:t>ng lương thực ngoài lúa ra</w:t>
      </w:r>
      <w:r w:rsidR="00CA3886" w:rsidRPr="005E5122">
        <w:rPr>
          <w:rFonts w:ascii="Times New Roman" w:hAnsi="Times New Roman" w:cs="Times New Roman"/>
          <w:color w:val="000000" w:themeColor="text1"/>
          <w:sz w:val="24"/>
          <w:szCs w:val="24"/>
          <w:lang w:val="vi-VN"/>
        </w:rPr>
        <w:t xml:space="preserve"> chiế</w:t>
      </w:r>
      <w:r w:rsidR="00D37A67">
        <w:rPr>
          <w:rFonts w:ascii="Times New Roman" w:hAnsi="Times New Roman" w:cs="Times New Roman"/>
          <w:color w:val="000000" w:themeColor="text1"/>
          <w:sz w:val="24"/>
          <w:szCs w:val="24"/>
          <w:lang w:val="vi-VN"/>
        </w:rPr>
        <w:t>m 19,3% và 12,3% tương ứng.</w:t>
      </w:r>
    </w:p>
    <w:p w14:paraId="286B0028" w14:textId="37255A55" w:rsidR="00E206F3" w:rsidRPr="00215621" w:rsidRDefault="003D483E" w:rsidP="00FC617C">
      <w:pPr>
        <w:pStyle w:val="HTMLPreformatted"/>
        <w:spacing w:line="480" w:lineRule="auto"/>
        <w:ind w:firstLine="567"/>
        <w:jc w:val="both"/>
        <w:rPr>
          <w:rFonts w:ascii="Times New Roman" w:hAnsi="Times New Roman" w:cs="Times New Roman"/>
          <w:b/>
          <w:color w:val="000000" w:themeColor="text1"/>
          <w:sz w:val="24"/>
          <w:szCs w:val="24"/>
        </w:rPr>
      </w:pPr>
      <w:r w:rsidRPr="00215621">
        <w:rPr>
          <w:rFonts w:ascii="Times New Roman" w:hAnsi="Times New Roman" w:cs="Times New Roman"/>
          <w:b/>
          <w:color w:val="000000" w:themeColor="text1"/>
          <w:sz w:val="24"/>
          <w:szCs w:val="24"/>
        </w:rPr>
        <w:t>3. Một số gợi ý về chính sách</w:t>
      </w:r>
    </w:p>
    <w:p w14:paraId="2B563B59" w14:textId="721D93B7" w:rsidR="00436EFD" w:rsidRDefault="00436EFD" w:rsidP="00FC617C">
      <w:pPr>
        <w:widowControl w:val="0"/>
        <w:autoSpaceDE w:val="0"/>
        <w:autoSpaceDN w:val="0"/>
        <w:adjustRightInd w:val="0"/>
        <w:spacing w:line="480" w:lineRule="auto"/>
        <w:ind w:firstLine="567"/>
        <w:jc w:val="both"/>
        <w:rPr>
          <w:rFonts w:ascii="Times New Roman" w:hAnsi="Times New Roman" w:cs="Times New Roman"/>
          <w:spacing w:val="-2"/>
          <w:kern w:val="24"/>
          <w:lang w:val="en-US"/>
        </w:rPr>
      </w:pPr>
      <w:r>
        <w:rPr>
          <w:rFonts w:ascii="Times New Roman" w:hAnsi="Times New Roman" w:cs="Times New Roman"/>
          <w:spacing w:val="-2"/>
          <w:kern w:val="24"/>
          <w:lang w:val="en-US"/>
        </w:rPr>
        <w:t xml:space="preserve">Như nhiều nước trong khu vực Đông Á khác, Việt Nam là quốc </w:t>
      </w:r>
      <w:r w:rsidR="00D033A3">
        <w:rPr>
          <w:rFonts w:ascii="Times New Roman" w:hAnsi="Times New Roman" w:cs="Times New Roman"/>
          <w:spacing w:val="-2"/>
          <w:kern w:val="24"/>
          <w:lang w:val="en-US"/>
        </w:rPr>
        <w:t>gia</w:t>
      </w:r>
      <w:r>
        <w:rPr>
          <w:rFonts w:ascii="Times New Roman" w:hAnsi="Times New Roman" w:cs="Times New Roman"/>
          <w:spacing w:val="-2"/>
          <w:kern w:val="24"/>
          <w:lang w:val="en-US"/>
        </w:rPr>
        <w:t xml:space="preserve"> dồi dào về nguồn lực lao động nhưng lại không phải là quốc gia có lợi thế lớn về diện tích đất. Sự thành công của cải cách đất đai theo hướng bình đẳng vào cuối những năm 1980 và đầu năm 1990 đã mang lại sự thay đổi rất lớn cho phát triển nông nghiệ</w:t>
      </w:r>
      <w:r w:rsidR="00AD7A7B">
        <w:rPr>
          <w:rFonts w:ascii="Times New Roman" w:hAnsi="Times New Roman" w:cs="Times New Roman"/>
          <w:spacing w:val="-2"/>
          <w:kern w:val="24"/>
          <w:lang w:val="en-US"/>
        </w:rPr>
        <w:t>p [17</w:t>
      </w:r>
      <w:r w:rsidR="00F10220">
        <w:rPr>
          <w:rFonts w:ascii="Times New Roman" w:hAnsi="Times New Roman" w:cs="Times New Roman"/>
          <w:spacing w:val="-2"/>
          <w:kern w:val="24"/>
          <w:lang w:val="en-US"/>
        </w:rPr>
        <w:t>]</w:t>
      </w:r>
      <w:r>
        <w:rPr>
          <w:rFonts w:ascii="Times New Roman" w:hAnsi="Times New Roman" w:cs="Times New Roman"/>
          <w:spacing w:val="-2"/>
          <w:kern w:val="24"/>
          <w:lang w:val="en-US"/>
        </w:rPr>
        <w:t>. Tuy nhiên, các cuộc cải cách đất đai này cũng tạo hệ thống sản xuất hộ gia đình quy mô nhỏ và manh mún, dẫn đến ảnh hưởng đến năng lực cải thiện năng suất nông nghiệ</w:t>
      </w:r>
      <w:r w:rsidR="00AD7A7B">
        <w:rPr>
          <w:rFonts w:ascii="Times New Roman" w:hAnsi="Times New Roman" w:cs="Times New Roman"/>
          <w:spacing w:val="-2"/>
          <w:kern w:val="24"/>
          <w:lang w:val="en-US"/>
        </w:rPr>
        <w:t>p [2</w:t>
      </w:r>
      <w:r w:rsidR="000471C1">
        <w:rPr>
          <w:rFonts w:ascii="Times New Roman" w:hAnsi="Times New Roman" w:cs="Times New Roman"/>
          <w:spacing w:val="-2"/>
          <w:kern w:val="24"/>
          <w:lang w:val="en-US"/>
        </w:rPr>
        <w:t>]</w:t>
      </w:r>
      <w:r>
        <w:rPr>
          <w:rFonts w:ascii="Times New Roman" w:hAnsi="Times New Roman" w:cs="Times New Roman"/>
          <w:spacing w:val="-2"/>
          <w:kern w:val="24"/>
          <w:lang w:val="en-US"/>
        </w:rPr>
        <w:t>. Sự cân bằng giữa chính sách an ninh lương thực và đảm bảo cải thiện phúc lợ</w:t>
      </w:r>
      <w:r w:rsidR="00364FEE">
        <w:rPr>
          <w:rFonts w:ascii="Times New Roman" w:hAnsi="Times New Roman" w:cs="Times New Roman"/>
          <w:spacing w:val="-2"/>
          <w:kern w:val="24"/>
          <w:lang w:val="en-US"/>
        </w:rPr>
        <w:t>i gia đình</w:t>
      </w:r>
      <w:r>
        <w:rPr>
          <w:rFonts w:ascii="Times New Roman" w:hAnsi="Times New Roman" w:cs="Times New Roman"/>
          <w:spacing w:val="-2"/>
          <w:kern w:val="24"/>
          <w:lang w:val="en-US"/>
        </w:rPr>
        <w:t xml:space="preserve"> luôn đặt ra nhiều thách thức cho hoạch định chính sách phát triển nông nghiệp của Việt Nam trong những năm gần đây. </w:t>
      </w:r>
    </w:p>
    <w:p w14:paraId="1F24F446" w14:textId="790FB84C" w:rsidR="00436EFD" w:rsidRDefault="00436EFD" w:rsidP="00FC617C">
      <w:pPr>
        <w:spacing w:line="480" w:lineRule="auto"/>
        <w:ind w:firstLine="567"/>
        <w:jc w:val="both"/>
        <w:rPr>
          <w:rFonts w:ascii="Times New Roman" w:hAnsi="Times New Roman" w:cs="Times New Roman"/>
        </w:rPr>
      </w:pPr>
      <w:r>
        <w:rPr>
          <w:rFonts w:ascii="Times New Roman" w:hAnsi="Times New Roman" w:cs="Times New Roman"/>
        </w:rPr>
        <w:t xml:space="preserve">An ninh lương thực của Việt Nam gắn liền với sản xuất gạo, tự chủ về gạo và ổn định diện tích đất lúa. Kể từ khi đổi mới kinh tế năm 1986 đến nay, các chính sách an ninh lương thực </w:t>
      </w:r>
      <w:r>
        <w:rPr>
          <w:rFonts w:ascii="Times New Roman" w:hAnsi="Times New Roman" w:cs="Times New Roman"/>
        </w:rPr>
        <w:lastRenderedPageBreak/>
        <w:t>được tập trung chủ yếu tăng cung về sản lượng gạo và giữ ổn định diện tích đất trồng lúa. Chính vì vậy, các vùng với lợi thế trong sản xuất lúa gạo đã được ưu tiên trở thành vùng trọng điểm cho an ninh lương thực của cả nước. Các chính sách nông nghiệp trong vùng như phát triển hệ thống thủy lợi, quản lý nguồn nước, giống, và khoa học kỹ thuật được tập trung chủ yếu vào tăng sản lượng gạo. Kết quả là, các vùng sản xuất lúa gạo tập trung đẩy mạnh sản xuất 3 vụ lúa một năm. Việc tăng cường sản xuất lúa 3 vụ trong năm đã khiến cho sản xuất nông nghiệp trong vùng dễ bị tổn thương do tác động của hệ thống đập trên sông Mê Kông và biến đổi khí hậ</w:t>
      </w:r>
      <w:r w:rsidR="00AD7A7B">
        <w:rPr>
          <w:rFonts w:ascii="Times New Roman" w:hAnsi="Times New Roman" w:cs="Times New Roman"/>
        </w:rPr>
        <w:t>u. [19</w:t>
      </w:r>
      <w:r w:rsidR="000471C1">
        <w:rPr>
          <w:rFonts w:ascii="Times New Roman" w:hAnsi="Times New Roman" w:cs="Times New Roman"/>
        </w:rPr>
        <w:t>]</w:t>
      </w:r>
      <w:r>
        <w:rPr>
          <w:rFonts w:ascii="Times New Roman" w:hAnsi="Times New Roman" w:cs="Times New Roman"/>
        </w:rPr>
        <w:t xml:space="preserve"> đã chỉ ra rằng chính sách lúa gạo của Việt Nam là không hiệu quả và kém hiệu lực. Chính sách tự chủ lương thực dựa trên kiểm soát sử dụng đất lúa là không hiệu quả khi các nguồn lực </w:t>
      </w:r>
      <w:r w:rsidR="00DE2C9F">
        <w:rPr>
          <w:rFonts w:ascii="Times New Roman" w:hAnsi="Times New Roman" w:cs="Times New Roman"/>
        </w:rPr>
        <w:t xml:space="preserve">được sử dụng vào cây trồng mang lại giá trị thấp. </w:t>
      </w:r>
    </w:p>
    <w:p w14:paraId="01F43C00" w14:textId="59E367AF" w:rsidR="00436EFD" w:rsidRPr="00215621" w:rsidRDefault="00436EFD" w:rsidP="00FC617C">
      <w:pPr>
        <w:spacing w:line="480" w:lineRule="auto"/>
        <w:ind w:firstLine="567"/>
        <w:jc w:val="both"/>
        <w:rPr>
          <w:rFonts w:ascii="Times New Roman" w:hAnsi="Times New Roman" w:cs="Times New Roman"/>
        </w:rPr>
      </w:pPr>
      <w:r>
        <w:rPr>
          <w:rFonts w:ascii="Times New Roman" w:hAnsi="Times New Roman" w:cs="Times New Roman"/>
        </w:rPr>
        <w:t xml:space="preserve">Chính vì vậy, thay đổi cách tiếp cận của chính sách an ninh lương thực không phụ thuộc vào cây lúa sẽ dẫn đến khả năng thay đổi cách tiếp cận quy hoạch lại vùng sản xuất nông nghiệp cho phù hợp hơn với điều kiện canh tác và đặc điểm nguồn nước nhằm giảm thiểu tác động của hạn hán, xâm nhập mặn vào mùa khô và lũ lụt vào mùa mưa cho vùng đồng bằng sông Cửu Long và các vùng sản xuất gạo khác trên cả nước. Bên cạnh đó, hệ thống quản lý nguồn nước, đê điều, và cơ cấu giống cây trồng, vật nuôi sẽ thay đổi. Kinh nghiệm về phát triển nông nghiệp của các nước đã chỉ ra rằng, với điều kiện canh tác quy mô nhỏ, việc đa dạng hóa cơ cấu cây trồng sẽ giúp hộ gia đình giảm thiểu tác động của thiên tai, từ đó ổn định thu nhập. Như vậy, những vùng dễ bị tổn thương do xâm nhập mặn có thể chuyển đổi mô hình trồng lúa sang các loại cây trồng hay vật nuôi chịu mặn, hoặc giảm vụ lúa để tránh tác động bất lợi chứ không sản xuất lúa gạo bằng mọi giá. </w:t>
      </w:r>
    </w:p>
    <w:p w14:paraId="69BE3E41" w14:textId="0CE7B9F1" w:rsidR="0028233F" w:rsidRPr="00C46EB3" w:rsidRDefault="00215621" w:rsidP="00FC617C">
      <w:pPr>
        <w:pStyle w:val="HTMLPreformatted"/>
        <w:spacing w:line="480" w:lineRule="auto"/>
        <w:ind w:firstLine="567"/>
        <w:jc w:val="both"/>
        <w:rPr>
          <w:rFonts w:ascii="Times New Roman" w:hAnsi="Times New Roman" w:cs="Times New Roman"/>
          <w:color w:val="212121"/>
          <w:sz w:val="24"/>
          <w:szCs w:val="24"/>
        </w:rPr>
      </w:pPr>
      <w:r>
        <w:rPr>
          <w:rFonts w:ascii="Times New Roman" w:hAnsi="Times New Roman" w:cs="Times New Roman"/>
          <w:color w:val="212121"/>
          <w:sz w:val="24"/>
          <w:szCs w:val="24"/>
          <w:lang w:val="vi-VN"/>
        </w:rPr>
        <w:t>Bên cạnh đó, c</w:t>
      </w:r>
      <w:r w:rsidR="0028233F">
        <w:rPr>
          <w:rFonts w:ascii="Times New Roman" w:hAnsi="Times New Roman" w:cs="Times New Roman"/>
          <w:color w:val="212121"/>
          <w:sz w:val="24"/>
          <w:szCs w:val="24"/>
          <w:lang w:val="vi-VN"/>
        </w:rPr>
        <w:t>hính sách an ninh lương thực nên được</w:t>
      </w:r>
      <w:r w:rsidR="0028233F" w:rsidRPr="0028233F">
        <w:rPr>
          <w:rFonts w:ascii="Times New Roman" w:hAnsi="Times New Roman" w:cs="Times New Roman"/>
          <w:color w:val="212121"/>
          <w:sz w:val="24"/>
          <w:szCs w:val="24"/>
          <w:lang w:val="vi-VN"/>
        </w:rPr>
        <w:t xml:space="preserve"> thiết kế</w:t>
      </w:r>
      <w:r w:rsidR="0028233F">
        <w:rPr>
          <w:rFonts w:ascii="Times New Roman" w:hAnsi="Times New Roman" w:cs="Times New Roman"/>
          <w:color w:val="212121"/>
          <w:sz w:val="24"/>
          <w:szCs w:val="24"/>
          <w:lang w:val="vi-VN"/>
        </w:rPr>
        <w:t xml:space="preserve"> theo hướng</w:t>
      </w:r>
      <w:r w:rsidR="0028233F" w:rsidRPr="0028233F">
        <w:rPr>
          <w:rFonts w:ascii="Times New Roman" w:hAnsi="Times New Roman" w:cs="Times New Roman"/>
          <w:color w:val="212121"/>
          <w:sz w:val="24"/>
          <w:szCs w:val="24"/>
          <w:lang w:val="vi-VN"/>
        </w:rPr>
        <w:t xml:space="preserve"> thúc đẩy đa dạng hoá cây trồng cho </w:t>
      </w:r>
      <w:r w:rsidR="0028233F">
        <w:rPr>
          <w:rFonts w:ascii="Times New Roman" w:hAnsi="Times New Roman" w:cs="Times New Roman"/>
          <w:color w:val="212121"/>
          <w:sz w:val="24"/>
          <w:szCs w:val="24"/>
          <w:lang w:val="vi-VN"/>
        </w:rPr>
        <w:t xml:space="preserve">các hộ gia đình có quy mô sản xuất </w:t>
      </w:r>
      <w:r w:rsidR="0028233F" w:rsidRPr="0028233F">
        <w:rPr>
          <w:rFonts w:ascii="Times New Roman" w:hAnsi="Times New Roman" w:cs="Times New Roman"/>
          <w:color w:val="212121"/>
          <w:sz w:val="24"/>
          <w:szCs w:val="24"/>
          <w:lang w:val="vi-VN"/>
        </w:rPr>
        <w:t>nhỏ</w:t>
      </w:r>
      <w:r w:rsidR="0028233F">
        <w:rPr>
          <w:rFonts w:ascii="Times New Roman" w:hAnsi="Times New Roman" w:cs="Times New Roman"/>
          <w:color w:val="212121"/>
          <w:sz w:val="24"/>
          <w:szCs w:val="24"/>
          <w:lang w:val="vi-VN"/>
        </w:rPr>
        <w:t xml:space="preserve"> </w:t>
      </w:r>
      <w:r w:rsidR="0028233F" w:rsidRPr="0028233F">
        <w:rPr>
          <w:rFonts w:ascii="Times New Roman" w:hAnsi="Times New Roman" w:cs="Times New Roman"/>
          <w:color w:val="212121"/>
          <w:sz w:val="24"/>
          <w:szCs w:val="24"/>
          <w:lang w:val="vi-VN"/>
        </w:rPr>
        <w:t>để cải thiện năng suất</w:t>
      </w:r>
      <w:r w:rsidR="0028233F">
        <w:rPr>
          <w:rFonts w:ascii="Times New Roman" w:hAnsi="Times New Roman" w:cs="Times New Roman"/>
          <w:color w:val="212121"/>
          <w:sz w:val="24"/>
          <w:szCs w:val="24"/>
          <w:lang w:val="vi-VN"/>
        </w:rPr>
        <w:t xml:space="preserve"> nông nghiệp</w:t>
      </w:r>
      <w:r w:rsidR="0028233F" w:rsidRPr="0028233F">
        <w:rPr>
          <w:rFonts w:ascii="Times New Roman" w:hAnsi="Times New Roman" w:cs="Times New Roman"/>
          <w:color w:val="212121"/>
          <w:sz w:val="24"/>
          <w:szCs w:val="24"/>
          <w:lang w:val="vi-VN"/>
        </w:rPr>
        <w:t xml:space="preserve">. </w:t>
      </w:r>
      <w:r w:rsidR="00AD7A7B">
        <w:rPr>
          <w:rFonts w:ascii="Times New Roman" w:hAnsi="Times New Roman" w:cs="Times New Roman"/>
          <w:color w:val="212121"/>
          <w:sz w:val="24"/>
          <w:szCs w:val="24"/>
          <w:lang w:val="vi-VN"/>
        </w:rPr>
        <w:t>[2]</w:t>
      </w:r>
      <w:r w:rsidR="00801958">
        <w:rPr>
          <w:rFonts w:ascii="Times New Roman" w:hAnsi="Times New Roman" w:cs="Times New Roman"/>
          <w:color w:val="212121"/>
          <w:sz w:val="24"/>
          <w:szCs w:val="24"/>
          <w:lang w:val="vi-VN"/>
        </w:rPr>
        <w:t xml:space="preserve"> đã chỉ ra rằng, việc </w:t>
      </w:r>
      <w:r w:rsidR="0028233F" w:rsidRPr="0028233F">
        <w:rPr>
          <w:rFonts w:ascii="Times New Roman" w:hAnsi="Times New Roman" w:cs="Times New Roman"/>
          <w:color w:val="212121"/>
          <w:sz w:val="24"/>
          <w:szCs w:val="24"/>
          <w:lang w:val="vi-VN"/>
        </w:rPr>
        <w:t>trồng lúa ở tất cả các tỉ</w:t>
      </w:r>
      <w:r w:rsidR="00801958">
        <w:rPr>
          <w:rFonts w:ascii="Times New Roman" w:hAnsi="Times New Roman" w:cs="Times New Roman"/>
          <w:color w:val="212121"/>
          <w:sz w:val="24"/>
          <w:szCs w:val="24"/>
          <w:lang w:val="vi-VN"/>
        </w:rPr>
        <w:t>nh</w:t>
      </w:r>
      <w:r w:rsidR="0028233F" w:rsidRPr="0028233F">
        <w:rPr>
          <w:rFonts w:ascii="Times New Roman" w:hAnsi="Times New Roman" w:cs="Times New Roman"/>
          <w:color w:val="212121"/>
          <w:sz w:val="24"/>
          <w:szCs w:val="24"/>
          <w:lang w:val="vi-VN"/>
        </w:rPr>
        <w:t xml:space="preserve"> là không thích hợp. Nỗ lực gần đây của chính phủ Việt Nam nhằm thúc đẩy đa dạng hoá trong Chiến lược Nông nghiệp và Phát triển Nông thôn (2011-2020) là một bước đi đúng hướng. Do đó, sự đa dạng cây trồng nên được </w:t>
      </w:r>
      <w:r w:rsidR="0028233F" w:rsidRPr="0028233F">
        <w:rPr>
          <w:rFonts w:ascii="Times New Roman" w:hAnsi="Times New Roman" w:cs="Times New Roman"/>
          <w:color w:val="212121"/>
          <w:sz w:val="24"/>
          <w:szCs w:val="24"/>
          <w:lang w:val="vi-VN"/>
        </w:rPr>
        <w:lastRenderedPageBreak/>
        <w:t xml:space="preserve">mở rộng để cải thiện thu nhập của các hộ nông dân. </w:t>
      </w:r>
      <w:r w:rsidR="00682C04">
        <w:rPr>
          <w:rFonts w:ascii="Times New Roman" w:hAnsi="Times New Roman" w:cs="Times New Roman"/>
          <w:color w:val="212121"/>
          <w:sz w:val="24"/>
          <w:szCs w:val="24"/>
          <w:lang w:val="vi-VN"/>
        </w:rPr>
        <w:t xml:space="preserve">Như vậy, </w:t>
      </w:r>
      <w:r>
        <w:rPr>
          <w:rFonts w:ascii="Times New Roman" w:hAnsi="Times New Roman" w:cs="Times New Roman"/>
          <w:color w:val="212121"/>
          <w:sz w:val="24"/>
          <w:szCs w:val="24"/>
          <w:lang w:val="vi-VN"/>
        </w:rPr>
        <w:t>đ</w:t>
      </w:r>
      <w:r w:rsidR="0028233F" w:rsidRPr="0028233F">
        <w:rPr>
          <w:rFonts w:ascii="Times New Roman" w:hAnsi="Times New Roman" w:cs="Times New Roman"/>
          <w:color w:val="212121"/>
          <w:sz w:val="24"/>
          <w:szCs w:val="24"/>
          <w:lang w:val="vi-VN"/>
        </w:rPr>
        <w:t>a dạng hoá cây trồng cải thiện tình trạng dinh dưỡng của các hộ gia đình có thu nhập thấp thông qua tăng sản xuất các loại thực phẩm giàu chất dinh dưỡng để tiêu thụ trực tiế</w:t>
      </w:r>
      <w:r w:rsidR="00801958">
        <w:rPr>
          <w:rFonts w:ascii="Times New Roman" w:hAnsi="Times New Roman" w:cs="Times New Roman"/>
          <w:color w:val="212121"/>
          <w:sz w:val="24"/>
          <w:szCs w:val="24"/>
          <w:lang w:val="vi-VN"/>
        </w:rPr>
        <w:t>p và nâng cao</w:t>
      </w:r>
      <w:r w:rsidR="0028233F" w:rsidRPr="0028233F">
        <w:rPr>
          <w:rFonts w:ascii="Times New Roman" w:hAnsi="Times New Roman" w:cs="Times New Roman"/>
          <w:color w:val="212121"/>
          <w:sz w:val="24"/>
          <w:szCs w:val="24"/>
          <w:lang w:val="vi-VN"/>
        </w:rPr>
        <w:t xml:space="preserve"> thu nhập </w:t>
      </w:r>
      <w:r w:rsidR="00801958">
        <w:rPr>
          <w:rFonts w:ascii="Times New Roman" w:hAnsi="Times New Roman" w:cs="Times New Roman"/>
          <w:color w:val="212121"/>
          <w:sz w:val="24"/>
          <w:szCs w:val="24"/>
          <w:lang w:val="vi-VN"/>
        </w:rPr>
        <w:t>cho hộ gia đình</w:t>
      </w:r>
      <w:r w:rsidR="0028233F" w:rsidRPr="0028233F">
        <w:rPr>
          <w:rFonts w:ascii="Times New Roman" w:hAnsi="Times New Roman" w:cs="Times New Roman"/>
          <w:color w:val="212121"/>
          <w:sz w:val="24"/>
          <w:szCs w:val="24"/>
          <w:lang w:val="vi-VN"/>
        </w:rPr>
        <w:t xml:space="preserve"> </w:t>
      </w:r>
      <w:r w:rsidR="00801958">
        <w:rPr>
          <w:rFonts w:ascii="Times New Roman" w:hAnsi="Times New Roman" w:cs="Times New Roman"/>
          <w:color w:val="212121"/>
          <w:sz w:val="24"/>
          <w:szCs w:val="24"/>
          <w:lang w:val="vi-VN"/>
        </w:rPr>
        <w:t xml:space="preserve">là một bước đi đúng hướng </w:t>
      </w:r>
      <w:r w:rsidR="00E549DF">
        <w:rPr>
          <w:rFonts w:ascii="Times New Roman" w:hAnsi="Times New Roman" w:cs="Times New Roman"/>
          <w:color w:val="212121"/>
          <w:sz w:val="24"/>
          <w:szCs w:val="24"/>
          <w:lang w:val="vi-VN"/>
        </w:rPr>
        <w:t>[15</w:t>
      </w:r>
      <w:r w:rsidR="000471C1">
        <w:rPr>
          <w:rFonts w:ascii="Times New Roman" w:hAnsi="Times New Roman" w:cs="Times New Roman"/>
          <w:color w:val="212121"/>
          <w:sz w:val="24"/>
          <w:szCs w:val="24"/>
          <w:lang w:val="vi-VN"/>
        </w:rPr>
        <w:t>]</w:t>
      </w:r>
      <w:r w:rsidR="0028233F" w:rsidRPr="0028233F">
        <w:rPr>
          <w:rFonts w:ascii="Times New Roman" w:hAnsi="Times New Roman" w:cs="Times New Roman"/>
          <w:color w:val="212121"/>
          <w:sz w:val="24"/>
          <w:szCs w:val="24"/>
          <w:lang w:val="vi-VN"/>
        </w:rPr>
        <w:t>.</w:t>
      </w:r>
    </w:p>
    <w:p w14:paraId="4EAB3736" w14:textId="77777777" w:rsidR="000E791E" w:rsidRPr="005E5122" w:rsidRDefault="000E791E" w:rsidP="00FC617C">
      <w:pPr>
        <w:spacing w:line="480" w:lineRule="auto"/>
        <w:ind w:firstLine="567"/>
        <w:jc w:val="both"/>
        <w:rPr>
          <w:rFonts w:ascii="Times New Roman" w:hAnsi="Times New Roman" w:cs="Times New Roman"/>
          <w:b/>
          <w:color w:val="000000" w:themeColor="text1"/>
        </w:rPr>
      </w:pPr>
      <w:r w:rsidRPr="005E5122">
        <w:rPr>
          <w:rFonts w:ascii="Times New Roman" w:hAnsi="Times New Roman" w:cs="Times New Roman"/>
          <w:b/>
          <w:color w:val="000000" w:themeColor="text1"/>
        </w:rPr>
        <w:t>Tài liệu tham khảo</w:t>
      </w:r>
    </w:p>
    <w:p w14:paraId="2D8F1A03" w14:textId="648BA7AF" w:rsidR="00CF4538" w:rsidRDefault="00CF4538" w:rsidP="004910D9">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w:t>
      </w:r>
      <w:r w:rsidR="004910D9" w:rsidRPr="004910D9">
        <w:rPr>
          <w:rFonts w:ascii="Times New Roman" w:hAnsi="Times New Roman"/>
          <w:sz w:val="24"/>
          <w:szCs w:val="24"/>
        </w:rPr>
        <w:t xml:space="preserve"> </w:t>
      </w:r>
      <w:r w:rsidR="004910D9">
        <w:rPr>
          <w:rFonts w:ascii="Times New Roman" w:hAnsi="Times New Roman"/>
          <w:sz w:val="24"/>
          <w:szCs w:val="24"/>
        </w:rPr>
        <w:t>Tổng cục Thống kê</w:t>
      </w:r>
      <w:r w:rsidR="004910D9" w:rsidRPr="00C243C8">
        <w:rPr>
          <w:rFonts w:ascii="Times New Roman" w:hAnsi="Times New Roman"/>
          <w:sz w:val="24"/>
          <w:szCs w:val="24"/>
        </w:rPr>
        <w:t xml:space="preserve">, </w:t>
      </w:r>
      <w:r w:rsidR="004910D9">
        <w:rPr>
          <w:rFonts w:ascii="Times New Roman" w:hAnsi="Times New Roman"/>
          <w:sz w:val="24"/>
          <w:szCs w:val="24"/>
        </w:rPr>
        <w:t>Kết quả khảo sát nông nghiệp 2011</w:t>
      </w:r>
      <w:r w:rsidR="004910D9" w:rsidRPr="00C243C8">
        <w:rPr>
          <w:rFonts w:ascii="Times New Roman" w:hAnsi="Times New Roman"/>
          <w:sz w:val="24"/>
          <w:szCs w:val="24"/>
        </w:rPr>
        <w:t xml:space="preserve">, </w:t>
      </w:r>
      <w:r w:rsidR="004910D9">
        <w:rPr>
          <w:rFonts w:ascii="Times New Roman" w:hAnsi="Times New Roman"/>
          <w:sz w:val="24"/>
          <w:szCs w:val="24"/>
        </w:rPr>
        <w:t>Nhà xuất bản thống kê, Hà Nội, Việt Nam</w:t>
      </w:r>
      <w:r w:rsidR="004910D9">
        <w:rPr>
          <w:rFonts w:ascii="Times New Roman" w:hAnsi="Times New Roman"/>
          <w:sz w:val="24"/>
          <w:szCs w:val="24"/>
        </w:rPr>
        <w:t>, 2012.</w:t>
      </w:r>
    </w:p>
    <w:p w14:paraId="6CB10BCA" w14:textId="77777777" w:rsidR="0008565B" w:rsidRDefault="00CF4538" w:rsidP="0008565B">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[2]</w:t>
      </w:r>
      <w:r w:rsidR="0008565B">
        <w:rPr>
          <w:rFonts w:ascii="Times New Roman" w:hAnsi="Times New Roman"/>
          <w:sz w:val="24"/>
          <w:szCs w:val="24"/>
        </w:rPr>
        <w:t xml:space="preserve"> </w:t>
      </w:r>
      <w:r w:rsidR="0008565B" w:rsidRPr="00C243C8">
        <w:rPr>
          <w:rFonts w:ascii="Times New Roman" w:eastAsia="Arial Unicode MS" w:hAnsi="Times New Roman"/>
          <w:color w:val="000000" w:themeColor="text1"/>
          <w:sz w:val="24"/>
          <w:szCs w:val="24"/>
        </w:rPr>
        <w:t>Kompas, T &amp; Che, T.N., &amp; Ng</w:t>
      </w:r>
      <w:r w:rsidR="0008565B">
        <w:rPr>
          <w:rFonts w:ascii="Times New Roman" w:eastAsia="Arial Unicode MS" w:hAnsi="Times New Roman"/>
          <w:color w:val="000000" w:themeColor="text1"/>
          <w:sz w:val="24"/>
          <w:szCs w:val="24"/>
        </w:rPr>
        <w:t>uyen H.T.M, &amp; Nguyen, H.,</w:t>
      </w:r>
      <w:r w:rsidR="0008565B" w:rsidRPr="00C243C8">
        <w:rPr>
          <w:rFonts w:ascii="Times New Roman" w:eastAsia="Arial Unicode MS" w:hAnsi="Times New Roman"/>
          <w:color w:val="000000" w:themeColor="text1"/>
          <w:sz w:val="24"/>
          <w:szCs w:val="24"/>
        </w:rPr>
        <w:t xml:space="preserve"> ‘Productivity, net returns, and efficiency: land and market reform in Vietnamese rice production’, </w:t>
      </w:r>
      <w:r w:rsidR="0008565B" w:rsidRPr="00C243C8">
        <w:rPr>
          <w:rFonts w:ascii="Times New Roman" w:eastAsia="Arial Unicode MS" w:hAnsi="Times New Roman"/>
          <w:i/>
          <w:color w:val="000000" w:themeColor="text1"/>
          <w:sz w:val="24"/>
          <w:szCs w:val="24"/>
        </w:rPr>
        <w:t>Land Economics</w:t>
      </w:r>
      <w:r w:rsidR="0008565B" w:rsidRPr="00C243C8">
        <w:rPr>
          <w:rFonts w:ascii="Times New Roman" w:eastAsia="Arial Unicode MS" w:hAnsi="Times New Roman"/>
          <w:color w:val="000000" w:themeColor="text1"/>
          <w:sz w:val="24"/>
          <w:szCs w:val="24"/>
        </w:rPr>
        <w:t>, vol. 88, no. 3, pp. 478-495.</w:t>
      </w:r>
      <w:r w:rsidR="0008565B" w:rsidRPr="00C243C8">
        <w:rPr>
          <w:rFonts w:ascii="Times New Roman" w:hAnsi="Times New Roman"/>
          <w:sz w:val="24"/>
          <w:szCs w:val="24"/>
        </w:rPr>
        <w:t xml:space="preserve"> </w:t>
      </w:r>
    </w:p>
    <w:p w14:paraId="76C061BA" w14:textId="7F477A1B" w:rsidR="00CF4538" w:rsidRPr="00B15C30" w:rsidRDefault="00AD7A7B" w:rsidP="00B15C30">
      <w:pPr>
        <w:spacing w:line="480" w:lineRule="auto"/>
        <w:ind w:left="567" w:hanging="567"/>
        <w:jc w:val="both"/>
        <w:rPr>
          <w:rFonts w:ascii="Times New Roman" w:hAnsi="Times New Roman" w:cs="Times New Roman"/>
          <w:color w:val="000000" w:themeColor="text1"/>
        </w:rPr>
      </w:pPr>
      <w:r>
        <w:rPr>
          <w:rFonts w:ascii="Times New Roman" w:hAnsi="Times New Roman"/>
        </w:rPr>
        <w:t xml:space="preserve"> </w:t>
      </w:r>
      <w:r w:rsidR="00CF4538">
        <w:rPr>
          <w:rFonts w:ascii="Times New Roman" w:hAnsi="Times New Roman"/>
        </w:rPr>
        <w:t>[3]</w:t>
      </w:r>
      <w:r w:rsidR="00F23A0E">
        <w:rPr>
          <w:rFonts w:ascii="Times New Roman" w:hAnsi="Times New Roman"/>
        </w:rPr>
        <w:t xml:space="preserve"> </w:t>
      </w:r>
      <w:r w:rsidR="00F23A0E">
        <w:rPr>
          <w:rFonts w:ascii="Times New Roman" w:hAnsi="Times New Roman" w:cs="Times New Roman"/>
          <w:color w:val="000000" w:themeColor="text1"/>
        </w:rPr>
        <w:t>Kompas, T.</w:t>
      </w:r>
      <w:r w:rsidR="00F23A0E" w:rsidRPr="00C243C8">
        <w:rPr>
          <w:rFonts w:ascii="Times New Roman" w:hAnsi="Times New Roman" w:cs="Times New Roman"/>
          <w:color w:val="000000" w:themeColor="text1"/>
        </w:rPr>
        <w:t xml:space="preserve">, </w:t>
      </w:r>
      <w:r w:rsidR="00F23A0E" w:rsidRPr="00C243C8">
        <w:rPr>
          <w:rFonts w:ascii="Times New Roman" w:hAnsi="Times New Roman" w:cs="Times New Roman"/>
          <w:i/>
          <w:color w:val="000000" w:themeColor="text1"/>
        </w:rPr>
        <w:t>Market reform, productivity and efficiency in Vietnamese rice production</w:t>
      </w:r>
      <w:r w:rsidR="00F23A0E" w:rsidRPr="00C243C8">
        <w:rPr>
          <w:rFonts w:ascii="Times New Roman" w:hAnsi="Times New Roman" w:cs="Times New Roman"/>
          <w:color w:val="000000" w:themeColor="text1"/>
        </w:rPr>
        <w:t>, Working Papers 04-4, Crawford School of Economics and Government, Australia</w:t>
      </w:r>
      <w:r w:rsidR="00F23A0E">
        <w:rPr>
          <w:rFonts w:ascii="Times New Roman" w:hAnsi="Times New Roman" w:cs="Times New Roman"/>
          <w:color w:val="000000" w:themeColor="text1"/>
        </w:rPr>
        <w:t>n National University, Canberra, 2004.</w:t>
      </w:r>
    </w:p>
    <w:p w14:paraId="29E6F65F" w14:textId="6D22597C" w:rsidR="00CF4538" w:rsidRDefault="00CF4538" w:rsidP="00B15C30">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[4]</w:t>
      </w:r>
      <w:r w:rsidR="00B15C30">
        <w:rPr>
          <w:rFonts w:ascii="Times New Roman" w:hAnsi="Times New Roman"/>
          <w:sz w:val="24"/>
          <w:szCs w:val="24"/>
        </w:rPr>
        <w:t xml:space="preserve"> </w:t>
      </w:r>
      <w:r w:rsidR="00041869">
        <w:rPr>
          <w:rFonts w:ascii="Times New Roman" w:hAnsi="Times New Roman"/>
          <w:sz w:val="24"/>
          <w:szCs w:val="24"/>
        </w:rPr>
        <w:t>World Bank</w:t>
      </w:r>
      <w:r w:rsidR="00B15C30" w:rsidRPr="00C243C8">
        <w:rPr>
          <w:rFonts w:ascii="Times New Roman" w:hAnsi="Times New Roman"/>
          <w:sz w:val="24"/>
          <w:szCs w:val="24"/>
        </w:rPr>
        <w:t xml:space="preserve">, </w:t>
      </w:r>
      <w:r w:rsidR="00B15C30" w:rsidRPr="00C243C8">
        <w:rPr>
          <w:rFonts w:ascii="Times New Roman" w:hAnsi="Times New Roman"/>
          <w:i/>
          <w:iCs/>
          <w:sz w:val="24"/>
          <w:szCs w:val="24"/>
        </w:rPr>
        <w:t xml:space="preserve">Taking stock: an update on Vietnam’s recent economic developments, </w:t>
      </w:r>
      <w:r w:rsidR="00B15C30" w:rsidRPr="00C243C8">
        <w:rPr>
          <w:rFonts w:ascii="Times New Roman" w:hAnsi="Times New Roman"/>
          <w:iCs/>
          <w:sz w:val="24"/>
          <w:szCs w:val="24"/>
        </w:rPr>
        <w:t>The World Bank</w:t>
      </w:r>
      <w:r w:rsidR="00B15C30" w:rsidRPr="00C243C8">
        <w:rPr>
          <w:rFonts w:ascii="Times New Roman" w:hAnsi="Times New Roman"/>
          <w:i/>
          <w:iCs/>
          <w:sz w:val="24"/>
          <w:szCs w:val="24"/>
        </w:rPr>
        <w:t xml:space="preserve">, </w:t>
      </w:r>
      <w:r w:rsidR="00B15C30" w:rsidRPr="00C243C8">
        <w:rPr>
          <w:rFonts w:ascii="Times New Roman" w:hAnsi="Times New Roman"/>
          <w:iCs/>
          <w:sz w:val="24"/>
          <w:szCs w:val="24"/>
        </w:rPr>
        <w:t>07/2016</w:t>
      </w:r>
      <w:r w:rsidR="00041869">
        <w:rPr>
          <w:rFonts w:ascii="Times New Roman" w:hAnsi="Times New Roman"/>
          <w:sz w:val="24"/>
          <w:szCs w:val="24"/>
        </w:rPr>
        <w:t>, Hanoi, Vietnam, 2016.</w:t>
      </w:r>
    </w:p>
    <w:p w14:paraId="69C9394B" w14:textId="6E8FD861" w:rsidR="00CF4538" w:rsidRDefault="00CF4538" w:rsidP="00C46BBC">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[5]</w:t>
      </w:r>
      <w:r w:rsidR="00AB183E">
        <w:rPr>
          <w:rFonts w:ascii="Times New Roman" w:hAnsi="Times New Roman"/>
          <w:sz w:val="24"/>
          <w:szCs w:val="24"/>
        </w:rPr>
        <w:t xml:space="preserve"> Oxfam</w:t>
      </w:r>
      <w:r w:rsidR="00AB183E" w:rsidRPr="00C243C8">
        <w:rPr>
          <w:rFonts w:ascii="Times New Roman" w:hAnsi="Times New Roman"/>
          <w:sz w:val="24"/>
          <w:szCs w:val="24"/>
        </w:rPr>
        <w:t xml:space="preserve">, </w:t>
      </w:r>
      <w:r w:rsidR="00C46BBC">
        <w:rPr>
          <w:rFonts w:ascii="Times New Roman" w:hAnsi="Times New Roman"/>
          <w:sz w:val="24"/>
          <w:szCs w:val="24"/>
        </w:rPr>
        <w:t>‘</w:t>
      </w:r>
      <w:r w:rsidR="00AB183E" w:rsidRPr="00C243C8">
        <w:rPr>
          <w:rFonts w:ascii="Times New Roman" w:hAnsi="Times New Roman"/>
          <w:i/>
          <w:iCs/>
          <w:sz w:val="24"/>
          <w:szCs w:val="24"/>
        </w:rPr>
        <w:t>Who has benefited from high rice prices in Vietnam?</w:t>
      </w:r>
      <w:r w:rsidR="00C46BBC">
        <w:rPr>
          <w:rFonts w:ascii="Times New Roman" w:hAnsi="Times New Roman"/>
          <w:i/>
          <w:iCs/>
          <w:sz w:val="24"/>
          <w:szCs w:val="24"/>
        </w:rPr>
        <w:t>’</w:t>
      </w:r>
      <w:r w:rsidR="00C46BBC">
        <w:rPr>
          <w:rFonts w:ascii="Times New Roman" w:hAnsi="Times New Roman"/>
          <w:sz w:val="24"/>
          <w:szCs w:val="24"/>
        </w:rPr>
        <w:t xml:space="preserve"> IPSARD and Oxfa</w:t>
      </w:r>
      <w:r w:rsidR="00AB183E" w:rsidRPr="00C243C8">
        <w:rPr>
          <w:rFonts w:ascii="Times New Roman" w:hAnsi="Times New Roman"/>
          <w:sz w:val="24"/>
          <w:szCs w:val="24"/>
        </w:rPr>
        <w:t>m, Hanoi, Vietnam</w:t>
      </w:r>
      <w:r w:rsidR="00AB183E">
        <w:rPr>
          <w:rFonts w:ascii="Times New Roman" w:hAnsi="Times New Roman"/>
          <w:sz w:val="24"/>
          <w:szCs w:val="24"/>
        </w:rPr>
        <w:t>, 2013.</w:t>
      </w:r>
    </w:p>
    <w:p w14:paraId="2D278454" w14:textId="4C2FF6D6" w:rsidR="00CF4538" w:rsidRDefault="00CF4538" w:rsidP="002761E9">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[6]</w:t>
      </w:r>
      <w:r w:rsidR="002761E9">
        <w:rPr>
          <w:rFonts w:ascii="Times New Roman" w:hAnsi="Times New Roman"/>
          <w:sz w:val="24"/>
          <w:szCs w:val="24"/>
        </w:rPr>
        <w:t xml:space="preserve"> FAO</w:t>
      </w:r>
      <w:r w:rsidR="002761E9" w:rsidRPr="00C243C8">
        <w:rPr>
          <w:rFonts w:ascii="Times New Roman" w:hAnsi="Times New Roman"/>
          <w:sz w:val="24"/>
          <w:szCs w:val="24"/>
        </w:rPr>
        <w:t xml:space="preserve">, </w:t>
      </w:r>
      <w:r w:rsidR="002761E9" w:rsidRPr="00C243C8">
        <w:rPr>
          <w:rFonts w:ascii="Times New Roman" w:hAnsi="Times New Roman"/>
          <w:i/>
          <w:iCs/>
          <w:sz w:val="24"/>
          <w:szCs w:val="24"/>
        </w:rPr>
        <w:t>The rice crisis: markets, policies and food security</w:t>
      </w:r>
      <w:r w:rsidR="002761E9">
        <w:rPr>
          <w:rFonts w:ascii="Times New Roman" w:hAnsi="Times New Roman"/>
          <w:sz w:val="24"/>
          <w:szCs w:val="24"/>
        </w:rPr>
        <w:t>, FAO and Earthscan, London, 2010.</w:t>
      </w:r>
    </w:p>
    <w:p w14:paraId="5237197C" w14:textId="74244F19" w:rsidR="00CF4538" w:rsidRDefault="00CF4538" w:rsidP="00AD7A7B">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[7]</w:t>
      </w:r>
      <w:r w:rsidR="00C33D50">
        <w:rPr>
          <w:rFonts w:ascii="Times New Roman" w:hAnsi="Times New Roman"/>
          <w:sz w:val="24"/>
          <w:szCs w:val="24"/>
        </w:rPr>
        <w:t xml:space="preserve"> World Bank,</w:t>
      </w:r>
      <w:r w:rsidR="00C33D50" w:rsidRPr="00C243C8">
        <w:rPr>
          <w:rFonts w:ascii="Times New Roman" w:hAnsi="Times New Roman"/>
          <w:sz w:val="24"/>
          <w:szCs w:val="24"/>
        </w:rPr>
        <w:t xml:space="preserve"> </w:t>
      </w:r>
      <w:r w:rsidR="00C33D50" w:rsidRPr="00C243C8">
        <w:rPr>
          <w:rFonts w:ascii="Times New Roman" w:hAnsi="Times New Roman"/>
          <w:i/>
          <w:iCs/>
          <w:sz w:val="24"/>
          <w:szCs w:val="24"/>
        </w:rPr>
        <w:t>Vietnam rice, farmers and rural development: From successful growth to sustainable prosperity</w:t>
      </w:r>
      <w:r w:rsidR="00C33D50">
        <w:rPr>
          <w:rFonts w:ascii="Times New Roman" w:hAnsi="Times New Roman"/>
          <w:sz w:val="24"/>
          <w:szCs w:val="24"/>
        </w:rPr>
        <w:t>, World Bank, Hanoi, Vietnam, 2012.</w:t>
      </w:r>
    </w:p>
    <w:p w14:paraId="04712CF0" w14:textId="2A3F0BC9" w:rsidR="00CF4538" w:rsidRDefault="00CF4538" w:rsidP="00545EEB">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[8]</w:t>
      </w:r>
      <w:r w:rsidR="00C33D50">
        <w:rPr>
          <w:rFonts w:ascii="Times New Roman" w:hAnsi="Times New Roman"/>
          <w:sz w:val="24"/>
          <w:szCs w:val="24"/>
        </w:rPr>
        <w:t xml:space="preserve"> Taylor, JE &amp; Lybbert, TJ.</w:t>
      </w:r>
      <w:r w:rsidR="00C33D50" w:rsidRPr="00C243C8">
        <w:rPr>
          <w:rFonts w:ascii="Times New Roman" w:hAnsi="Times New Roman"/>
          <w:sz w:val="24"/>
          <w:szCs w:val="24"/>
        </w:rPr>
        <w:t xml:space="preserve">, </w:t>
      </w:r>
      <w:r w:rsidR="00C33D50" w:rsidRPr="00C243C8">
        <w:rPr>
          <w:rFonts w:ascii="Times New Roman" w:hAnsi="Times New Roman"/>
          <w:i/>
          <w:iCs/>
          <w:sz w:val="24"/>
          <w:szCs w:val="24"/>
        </w:rPr>
        <w:t>Essentials of Development Economics</w:t>
      </w:r>
      <w:r w:rsidR="00C33D50" w:rsidRPr="00C243C8">
        <w:rPr>
          <w:rFonts w:ascii="Times New Roman" w:hAnsi="Times New Roman"/>
          <w:sz w:val="24"/>
          <w:szCs w:val="24"/>
        </w:rPr>
        <w:t>, Universit</w:t>
      </w:r>
      <w:r w:rsidR="00C33D50">
        <w:rPr>
          <w:rFonts w:ascii="Times New Roman" w:hAnsi="Times New Roman"/>
          <w:sz w:val="24"/>
          <w:szCs w:val="24"/>
        </w:rPr>
        <w:t>y of California Press, Berkeley, 2015.</w:t>
      </w:r>
    </w:p>
    <w:p w14:paraId="14C92987" w14:textId="66180C7E" w:rsidR="00CF4538" w:rsidRDefault="00CF4538" w:rsidP="00B21A76">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[9]</w:t>
      </w:r>
      <w:r w:rsidR="00F63AB7">
        <w:rPr>
          <w:rFonts w:ascii="Times New Roman" w:hAnsi="Times New Roman"/>
          <w:sz w:val="24"/>
          <w:szCs w:val="24"/>
        </w:rPr>
        <w:t xml:space="preserve"> Otsuka, K.</w:t>
      </w:r>
      <w:r w:rsidR="00F63AB7" w:rsidRPr="00C243C8">
        <w:rPr>
          <w:rFonts w:ascii="Times New Roman" w:hAnsi="Times New Roman"/>
          <w:sz w:val="24"/>
          <w:szCs w:val="24"/>
        </w:rPr>
        <w:t xml:space="preserve">, ‘Food insecurity, income inequality, and the changing comparative advantage in world agriculture’, </w:t>
      </w:r>
      <w:r w:rsidR="00F63AB7" w:rsidRPr="00C243C8">
        <w:rPr>
          <w:rFonts w:ascii="Times New Roman" w:hAnsi="Times New Roman"/>
          <w:i/>
          <w:iCs/>
          <w:sz w:val="24"/>
          <w:szCs w:val="24"/>
        </w:rPr>
        <w:t>Agricultural Economics</w:t>
      </w:r>
      <w:r w:rsidR="00F63AB7" w:rsidRPr="00C243C8">
        <w:rPr>
          <w:rFonts w:ascii="Times New Roman" w:hAnsi="Times New Roman"/>
          <w:sz w:val="24"/>
          <w:szCs w:val="24"/>
        </w:rPr>
        <w:t>, vol. 44, pp. 7–18</w:t>
      </w:r>
      <w:r w:rsidR="00F63AB7">
        <w:rPr>
          <w:rFonts w:ascii="Times New Roman" w:hAnsi="Times New Roman"/>
          <w:sz w:val="24"/>
          <w:szCs w:val="24"/>
        </w:rPr>
        <w:t>, 2013.</w:t>
      </w:r>
    </w:p>
    <w:p w14:paraId="4456D5DC" w14:textId="38400711" w:rsidR="00CF4538" w:rsidRDefault="00CF4538" w:rsidP="00B21A76">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lastRenderedPageBreak/>
        <w:t>[10]</w:t>
      </w:r>
      <w:r w:rsidR="00B21A76">
        <w:rPr>
          <w:rFonts w:ascii="Times New Roman" w:hAnsi="Times New Roman"/>
          <w:sz w:val="24"/>
          <w:szCs w:val="24"/>
        </w:rPr>
        <w:t xml:space="preserve"> Wiggins, S &amp; Keats, S.</w:t>
      </w:r>
      <w:r w:rsidR="00B21A76" w:rsidRPr="00C243C8">
        <w:rPr>
          <w:rFonts w:ascii="Times New Roman" w:hAnsi="Times New Roman"/>
          <w:sz w:val="24"/>
          <w:szCs w:val="24"/>
        </w:rPr>
        <w:t xml:space="preserve">, </w:t>
      </w:r>
      <w:r w:rsidR="00B21A76" w:rsidRPr="00C243C8">
        <w:rPr>
          <w:rFonts w:ascii="Times New Roman" w:hAnsi="Times New Roman"/>
          <w:i/>
          <w:iCs/>
          <w:sz w:val="24"/>
          <w:szCs w:val="24"/>
        </w:rPr>
        <w:t>Rural wages in Asia</w:t>
      </w:r>
      <w:r w:rsidR="00B21A76" w:rsidRPr="00C243C8">
        <w:rPr>
          <w:rFonts w:ascii="Times New Roman" w:hAnsi="Times New Roman"/>
          <w:sz w:val="24"/>
          <w:szCs w:val="24"/>
        </w:rPr>
        <w:t>, Report, Overseas Development Institute, London</w:t>
      </w:r>
      <w:r w:rsidR="00B21A76">
        <w:rPr>
          <w:rFonts w:ascii="Times New Roman" w:hAnsi="Times New Roman"/>
          <w:sz w:val="24"/>
          <w:szCs w:val="24"/>
        </w:rPr>
        <w:t>, 2014.</w:t>
      </w:r>
    </w:p>
    <w:p w14:paraId="783A3DE0" w14:textId="173ACAC4" w:rsidR="00CF4538" w:rsidRDefault="00CF4538" w:rsidP="00C32F09">
      <w:pPr>
        <w:pStyle w:val="NormalWeb"/>
        <w:spacing w:before="0" w:beforeAutospacing="0" w:after="0" w:afterAutospacing="0" w:line="480" w:lineRule="auto"/>
        <w:jc w:val="both"/>
        <w:rPr>
          <w:rFonts w:ascii="Times New Roman" w:hAnsi="Times New Roman"/>
          <w:sz w:val="24"/>
          <w:szCs w:val="24"/>
        </w:rPr>
      </w:pPr>
      <w:r>
        <w:rPr>
          <w:rFonts w:ascii="Times New Roman" w:hAnsi="Times New Roman"/>
          <w:sz w:val="24"/>
          <w:szCs w:val="24"/>
        </w:rPr>
        <w:t>[11]</w:t>
      </w:r>
      <w:r w:rsidR="00185D21">
        <w:rPr>
          <w:rFonts w:ascii="Times New Roman" w:hAnsi="Times New Roman"/>
          <w:sz w:val="24"/>
          <w:szCs w:val="24"/>
        </w:rPr>
        <w:t xml:space="preserve"> </w:t>
      </w:r>
      <w:r w:rsidR="00185D21" w:rsidRPr="00C243C8">
        <w:rPr>
          <w:rFonts w:ascii="Times New Roman" w:hAnsi="Times New Roman"/>
          <w:sz w:val="24"/>
          <w:szCs w:val="24"/>
        </w:rPr>
        <w:t xml:space="preserve">Bộ Nông nghiệp và Phát triển nông thôn, </w:t>
      </w:r>
      <w:r w:rsidR="00185D21">
        <w:rPr>
          <w:rFonts w:ascii="Times New Roman" w:hAnsi="Times New Roman"/>
          <w:sz w:val="24"/>
          <w:szCs w:val="24"/>
        </w:rPr>
        <w:t xml:space="preserve">Chiến lược phát triển nông nghiệp và nông thôn </w:t>
      </w:r>
      <w:r w:rsidR="00185D21" w:rsidRPr="00C243C8">
        <w:rPr>
          <w:rFonts w:ascii="Times New Roman" w:hAnsi="Times New Roman"/>
          <w:i/>
          <w:iCs/>
          <w:sz w:val="24"/>
          <w:szCs w:val="24"/>
        </w:rPr>
        <w:t>(201</w:t>
      </w:r>
      <w:r w:rsidR="00185D21">
        <w:rPr>
          <w:rFonts w:ascii="Times New Roman" w:hAnsi="Times New Roman"/>
          <w:i/>
          <w:iCs/>
          <w:sz w:val="24"/>
          <w:szCs w:val="24"/>
        </w:rPr>
        <w:t>1-2020)-3310/BNN-KH</w:t>
      </w:r>
      <w:r w:rsidR="00185D21" w:rsidRPr="00C243C8">
        <w:rPr>
          <w:rFonts w:ascii="Times New Roman" w:hAnsi="Times New Roman"/>
          <w:sz w:val="24"/>
          <w:szCs w:val="24"/>
        </w:rPr>
        <w:t xml:space="preserve">, </w:t>
      </w:r>
      <w:r w:rsidR="00185D21">
        <w:rPr>
          <w:rFonts w:ascii="Times New Roman" w:hAnsi="Times New Roman"/>
          <w:sz w:val="24"/>
          <w:szCs w:val="24"/>
        </w:rPr>
        <w:t>Bộ Nông nghiệp và Phát triển nông thôn, Hà Nội, Việt Nam</w:t>
      </w:r>
      <w:r w:rsidR="00185D21">
        <w:rPr>
          <w:rFonts w:ascii="Times New Roman" w:hAnsi="Times New Roman"/>
          <w:sz w:val="24"/>
          <w:szCs w:val="24"/>
        </w:rPr>
        <w:t>, 2009.</w:t>
      </w:r>
    </w:p>
    <w:p w14:paraId="4D6D64E4" w14:textId="22FEA25A" w:rsidR="00CF4538" w:rsidRDefault="00CF4538" w:rsidP="00861433">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[12]</w:t>
      </w:r>
      <w:r w:rsidR="00C32F09">
        <w:rPr>
          <w:rFonts w:ascii="Times New Roman" w:hAnsi="Times New Roman"/>
          <w:sz w:val="24"/>
          <w:szCs w:val="24"/>
        </w:rPr>
        <w:t xml:space="preserve"> </w:t>
      </w:r>
      <w:r w:rsidR="00C32F09" w:rsidRPr="00F95384">
        <w:rPr>
          <w:rFonts w:ascii="Times New Roman" w:hAnsi="Times New Roman"/>
          <w:sz w:val="24"/>
          <w:szCs w:val="24"/>
        </w:rPr>
        <w:t>Minot, N &amp; Eppre</w:t>
      </w:r>
      <w:r w:rsidR="00C32F09">
        <w:rPr>
          <w:rFonts w:ascii="Times New Roman" w:hAnsi="Times New Roman"/>
          <w:sz w:val="24"/>
          <w:szCs w:val="24"/>
        </w:rPr>
        <w:t>cht, M &amp; Tran, TTA &amp; Le, QT</w:t>
      </w:r>
      <w:r w:rsidR="00C32F09" w:rsidRPr="00F95384">
        <w:rPr>
          <w:rFonts w:ascii="Times New Roman" w:hAnsi="Times New Roman"/>
          <w:sz w:val="24"/>
          <w:szCs w:val="24"/>
        </w:rPr>
        <w:t>, ‘</w:t>
      </w:r>
      <w:r w:rsidR="00C32F09" w:rsidRPr="00F95384">
        <w:rPr>
          <w:rFonts w:ascii="Times New Roman" w:hAnsi="Times New Roman"/>
          <w:i/>
          <w:iCs/>
          <w:sz w:val="24"/>
          <w:szCs w:val="24"/>
        </w:rPr>
        <w:t>Income Diversification and Poverty in the Northern Uplands of Vietnam’</w:t>
      </w:r>
      <w:r w:rsidR="00C32F09" w:rsidRPr="00F95384">
        <w:rPr>
          <w:rFonts w:ascii="Times New Roman" w:hAnsi="Times New Roman"/>
          <w:sz w:val="24"/>
          <w:szCs w:val="24"/>
        </w:rPr>
        <w:t>, International Food Policy Res</w:t>
      </w:r>
      <w:r w:rsidR="00C32F09">
        <w:rPr>
          <w:rFonts w:ascii="Times New Roman" w:hAnsi="Times New Roman"/>
          <w:sz w:val="24"/>
          <w:szCs w:val="24"/>
        </w:rPr>
        <w:t>earch Institute, Washington, DC, 2006.</w:t>
      </w:r>
    </w:p>
    <w:p w14:paraId="22D1C408" w14:textId="498A2112" w:rsidR="00CF4538" w:rsidRDefault="00CF4538" w:rsidP="00751AFE">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[13]</w:t>
      </w:r>
      <w:r w:rsidR="00861433">
        <w:rPr>
          <w:rFonts w:ascii="Times New Roman" w:hAnsi="Times New Roman"/>
          <w:sz w:val="24"/>
          <w:szCs w:val="24"/>
        </w:rPr>
        <w:t xml:space="preserve"> Robison, LJ &amp; Barry, PJ.,</w:t>
      </w:r>
      <w:r w:rsidR="00861433">
        <w:rPr>
          <w:rFonts w:ascii="Times New Roman" w:hAnsi="Times New Roman"/>
          <w:sz w:val="24"/>
          <w:szCs w:val="24"/>
        </w:rPr>
        <w:t xml:space="preserve"> </w:t>
      </w:r>
      <w:r w:rsidR="00861433" w:rsidRPr="00F0139D">
        <w:rPr>
          <w:rFonts w:ascii="Times New Roman" w:hAnsi="Times New Roman"/>
          <w:i/>
          <w:iCs/>
          <w:sz w:val="24"/>
          <w:szCs w:val="24"/>
        </w:rPr>
        <w:t>The competitive firm’s response to risk</w:t>
      </w:r>
      <w:r w:rsidR="00861433">
        <w:rPr>
          <w:rFonts w:ascii="Times New Roman" w:hAnsi="Times New Roman"/>
          <w:sz w:val="24"/>
          <w:szCs w:val="24"/>
        </w:rPr>
        <w:t xml:space="preserve">, </w:t>
      </w:r>
      <w:r w:rsidR="00861433" w:rsidRPr="00F0139D">
        <w:rPr>
          <w:rFonts w:ascii="Times New Roman" w:hAnsi="Times New Roman"/>
          <w:sz w:val="24"/>
          <w:szCs w:val="24"/>
        </w:rPr>
        <w:t>Macmillan Publ</w:t>
      </w:r>
      <w:r w:rsidR="00861433">
        <w:rPr>
          <w:rFonts w:ascii="Times New Roman" w:hAnsi="Times New Roman"/>
          <w:sz w:val="24"/>
          <w:szCs w:val="24"/>
        </w:rPr>
        <w:t>ishing Company, New York, 1987.</w:t>
      </w:r>
    </w:p>
    <w:p w14:paraId="734AC9E3" w14:textId="0C7CD475" w:rsidR="00CF4538" w:rsidRDefault="00CF4538" w:rsidP="00C00066">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[14]</w:t>
      </w:r>
      <w:r w:rsidR="00C00066">
        <w:rPr>
          <w:rFonts w:ascii="Times New Roman" w:hAnsi="Times New Roman"/>
          <w:sz w:val="24"/>
          <w:szCs w:val="24"/>
        </w:rPr>
        <w:t xml:space="preserve"> Ellis, F.</w:t>
      </w:r>
      <w:r w:rsidR="00C00066">
        <w:rPr>
          <w:rFonts w:ascii="Times New Roman" w:hAnsi="Times New Roman"/>
          <w:sz w:val="24"/>
          <w:szCs w:val="24"/>
        </w:rPr>
        <w:t>, ‘</w:t>
      </w:r>
      <w:r w:rsidR="00C00066" w:rsidRPr="00F0139D">
        <w:rPr>
          <w:rFonts w:ascii="Times New Roman" w:hAnsi="Times New Roman"/>
          <w:sz w:val="24"/>
          <w:szCs w:val="24"/>
        </w:rPr>
        <w:t>Household strategies and r</w:t>
      </w:r>
      <w:r w:rsidR="00C00066">
        <w:rPr>
          <w:rFonts w:ascii="Times New Roman" w:hAnsi="Times New Roman"/>
          <w:sz w:val="24"/>
          <w:szCs w:val="24"/>
        </w:rPr>
        <w:t xml:space="preserve">ural livelihood diversification’, </w:t>
      </w:r>
      <w:r w:rsidR="00C00066" w:rsidRPr="00F0139D">
        <w:rPr>
          <w:rFonts w:ascii="Times New Roman" w:hAnsi="Times New Roman"/>
          <w:i/>
          <w:iCs/>
          <w:sz w:val="24"/>
          <w:szCs w:val="24"/>
        </w:rPr>
        <w:t>Journal of Development Studies</w:t>
      </w:r>
      <w:r w:rsidR="00C00066" w:rsidRPr="00F0139D">
        <w:rPr>
          <w:rFonts w:ascii="Times New Roman" w:hAnsi="Times New Roman"/>
          <w:sz w:val="24"/>
          <w:szCs w:val="24"/>
        </w:rPr>
        <w:t xml:space="preserve">, </w:t>
      </w:r>
      <w:r w:rsidR="00C00066">
        <w:rPr>
          <w:rFonts w:ascii="Times New Roman" w:hAnsi="Times New Roman"/>
          <w:sz w:val="24"/>
          <w:szCs w:val="24"/>
        </w:rPr>
        <w:t xml:space="preserve">vol. </w:t>
      </w:r>
      <w:r w:rsidR="00C00066" w:rsidRPr="00F0139D">
        <w:rPr>
          <w:rFonts w:ascii="Times New Roman" w:hAnsi="Times New Roman"/>
          <w:sz w:val="24"/>
          <w:szCs w:val="24"/>
        </w:rPr>
        <w:t>35</w:t>
      </w:r>
      <w:r w:rsidR="00C00066">
        <w:rPr>
          <w:rFonts w:ascii="Times New Roman" w:hAnsi="Times New Roman"/>
          <w:sz w:val="24"/>
          <w:szCs w:val="24"/>
        </w:rPr>
        <w:t>, no. 1</w:t>
      </w:r>
      <w:r w:rsidR="00C00066">
        <w:rPr>
          <w:rFonts w:ascii="Times New Roman" w:hAnsi="Times New Roman"/>
          <w:sz w:val="24"/>
          <w:szCs w:val="24"/>
        </w:rPr>
        <w:t>, pp.1–35, 1998.</w:t>
      </w:r>
    </w:p>
    <w:p w14:paraId="26B6907A" w14:textId="14AA56EC" w:rsidR="00CF4538" w:rsidRDefault="00CF4538" w:rsidP="00C00066">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[15]</w:t>
      </w:r>
      <w:r w:rsidR="00C00066">
        <w:rPr>
          <w:rFonts w:ascii="Times New Roman" w:hAnsi="Times New Roman"/>
          <w:sz w:val="24"/>
          <w:szCs w:val="24"/>
        </w:rPr>
        <w:t xml:space="preserve"> FAO</w:t>
      </w:r>
      <w:r w:rsidR="00C00066" w:rsidRPr="00C243C8">
        <w:rPr>
          <w:rFonts w:ascii="Times New Roman" w:hAnsi="Times New Roman"/>
          <w:sz w:val="24"/>
          <w:szCs w:val="24"/>
        </w:rPr>
        <w:t xml:space="preserve">, </w:t>
      </w:r>
      <w:r w:rsidR="00C00066" w:rsidRPr="00C243C8">
        <w:rPr>
          <w:rFonts w:ascii="Times New Roman" w:hAnsi="Times New Roman"/>
          <w:i/>
          <w:iCs/>
          <w:sz w:val="24"/>
          <w:szCs w:val="24"/>
        </w:rPr>
        <w:t>Crop diversification sustainable diets and nutrition</w:t>
      </w:r>
      <w:r w:rsidR="00C00066" w:rsidRPr="00C243C8">
        <w:rPr>
          <w:rFonts w:ascii="Times New Roman" w:hAnsi="Times New Roman"/>
          <w:sz w:val="24"/>
          <w:szCs w:val="24"/>
        </w:rPr>
        <w:t>, Plant Production and p</w:t>
      </w:r>
      <w:r w:rsidR="00C00066">
        <w:rPr>
          <w:rFonts w:ascii="Times New Roman" w:hAnsi="Times New Roman"/>
          <w:sz w:val="24"/>
          <w:szCs w:val="24"/>
        </w:rPr>
        <w:t>rotection Division, Rome, Italy, 2012.</w:t>
      </w:r>
    </w:p>
    <w:p w14:paraId="2EDC65AF" w14:textId="4E3BCB0F" w:rsidR="00CF4538" w:rsidRDefault="00CF4538" w:rsidP="00C00066">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[16]</w:t>
      </w:r>
      <w:r w:rsidR="00C00066">
        <w:rPr>
          <w:rFonts w:ascii="Times New Roman" w:hAnsi="Times New Roman"/>
          <w:sz w:val="24"/>
          <w:szCs w:val="24"/>
        </w:rPr>
        <w:t xml:space="preserve"> </w:t>
      </w:r>
      <w:r w:rsidR="00C00066" w:rsidRPr="00F0139D">
        <w:rPr>
          <w:rFonts w:ascii="Times New Roman" w:hAnsi="Times New Roman"/>
          <w:sz w:val="24"/>
          <w:szCs w:val="24"/>
        </w:rPr>
        <w:t>Lin</w:t>
      </w:r>
      <w:r w:rsidR="00C00066">
        <w:rPr>
          <w:rFonts w:ascii="Times New Roman" w:hAnsi="Times New Roman"/>
          <w:sz w:val="24"/>
          <w:szCs w:val="24"/>
        </w:rPr>
        <w:t>, BB.</w:t>
      </w:r>
      <w:r w:rsidR="00C00066">
        <w:rPr>
          <w:rFonts w:ascii="Times New Roman" w:hAnsi="Times New Roman"/>
          <w:sz w:val="24"/>
          <w:szCs w:val="24"/>
        </w:rPr>
        <w:t>, ‘</w:t>
      </w:r>
      <w:r w:rsidR="00C00066" w:rsidRPr="00F0139D">
        <w:rPr>
          <w:rFonts w:ascii="Times New Roman" w:hAnsi="Times New Roman"/>
          <w:sz w:val="24"/>
          <w:szCs w:val="24"/>
        </w:rPr>
        <w:t>Resilience in agriculture through crop diversification: adaptive mana</w:t>
      </w:r>
      <w:r w:rsidR="00C00066">
        <w:rPr>
          <w:rFonts w:ascii="Times New Roman" w:hAnsi="Times New Roman"/>
          <w:sz w:val="24"/>
          <w:szCs w:val="24"/>
        </w:rPr>
        <w:t xml:space="preserve">gement for environmental change’, </w:t>
      </w:r>
      <w:r w:rsidR="00C00066" w:rsidRPr="00F0139D">
        <w:rPr>
          <w:rFonts w:ascii="Times New Roman" w:hAnsi="Times New Roman"/>
          <w:i/>
          <w:iCs/>
          <w:sz w:val="24"/>
          <w:szCs w:val="24"/>
        </w:rPr>
        <w:t>Bio</w:t>
      </w:r>
      <w:r w:rsidR="00C00066">
        <w:rPr>
          <w:rFonts w:ascii="Times New Roman" w:hAnsi="Times New Roman"/>
          <w:i/>
          <w:iCs/>
          <w:sz w:val="24"/>
          <w:szCs w:val="24"/>
        </w:rPr>
        <w:t xml:space="preserve"> </w:t>
      </w:r>
      <w:r w:rsidR="00C00066" w:rsidRPr="00F0139D">
        <w:rPr>
          <w:rFonts w:ascii="Times New Roman" w:hAnsi="Times New Roman"/>
          <w:i/>
          <w:iCs/>
          <w:sz w:val="24"/>
          <w:szCs w:val="24"/>
        </w:rPr>
        <w:t>Science</w:t>
      </w:r>
      <w:r w:rsidR="00C00066" w:rsidRPr="00F0139D">
        <w:rPr>
          <w:rFonts w:ascii="Times New Roman" w:hAnsi="Times New Roman"/>
          <w:sz w:val="24"/>
          <w:szCs w:val="24"/>
        </w:rPr>
        <w:t xml:space="preserve">, </w:t>
      </w:r>
      <w:r w:rsidR="00C00066">
        <w:rPr>
          <w:rFonts w:ascii="Times New Roman" w:hAnsi="Times New Roman"/>
          <w:sz w:val="24"/>
          <w:szCs w:val="24"/>
        </w:rPr>
        <w:t xml:space="preserve">vol. </w:t>
      </w:r>
      <w:r w:rsidR="00C00066" w:rsidRPr="00F0139D">
        <w:rPr>
          <w:rFonts w:ascii="Times New Roman" w:hAnsi="Times New Roman"/>
          <w:sz w:val="24"/>
          <w:szCs w:val="24"/>
        </w:rPr>
        <w:t>61</w:t>
      </w:r>
      <w:r w:rsidR="00C00066">
        <w:rPr>
          <w:rFonts w:ascii="Times New Roman" w:hAnsi="Times New Roman"/>
          <w:sz w:val="24"/>
          <w:szCs w:val="24"/>
        </w:rPr>
        <w:t>, no. 3</w:t>
      </w:r>
      <w:r w:rsidR="00C00066" w:rsidRPr="00F0139D">
        <w:rPr>
          <w:rFonts w:ascii="Times New Roman" w:hAnsi="Times New Roman"/>
          <w:sz w:val="24"/>
          <w:szCs w:val="24"/>
        </w:rPr>
        <w:t>, pp.</w:t>
      </w:r>
      <w:r w:rsidR="00C00066">
        <w:rPr>
          <w:rFonts w:ascii="Times New Roman" w:hAnsi="Times New Roman"/>
          <w:sz w:val="24"/>
          <w:szCs w:val="24"/>
        </w:rPr>
        <w:t>183–</w:t>
      </w:r>
      <w:r w:rsidR="00C00066">
        <w:rPr>
          <w:rFonts w:ascii="Times New Roman" w:hAnsi="Times New Roman"/>
          <w:sz w:val="24"/>
          <w:szCs w:val="24"/>
        </w:rPr>
        <w:t>93, 2011.</w:t>
      </w:r>
    </w:p>
    <w:p w14:paraId="20B19436" w14:textId="17BCF554" w:rsidR="00CF4538" w:rsidRDefault="00CF4538" w:rsidP="005E2AEB">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[17]</w:t>
      </w:r>
      <w:r w:rsidR="006E1802">
        <w:rPr>
          <w:rFonts w:ascii="Times New Roman" w:hAnsi="Times New Roman"/>
          <w:sz w:val="24"/>
          <w:szCs w:val="24"/>
        </w:rPr>
        <w:t xml:space="preserve"> </w:t>
      </w:r>
      <w:r w:rsidR="006E1802" w:rsidRPr="00C243C8">
        <w:rPr>
          <w:rFonts w:ascii="Times New Roman" w:hAnsi="Times New Roman"/>
          <w:sz w:val="24"/>
          <w:szCs w:val="24"/>
        </w:rPr>
        <w:t xml:space="preserve">Marsh, </w:t>
      </w:r>
      <w:r w:rsidR="006E1802">
        <w:rPr>
          <w:rFonts w:ascii="Times New Roman" w:hAnsi="Times New Roman"/>
          <w:sz w:val="24"/>
          <w:szCs w:val="24"/>
        </w:rPr>
        <w:t>SP, MacAulay, TG &amp; Hung, PV.</w:t>
      </w:r>
      <w:r w:rsidR="006E1802" w:rsidRPr="00C243C8">
        <w:rPr>
          <w:rFonts w:ascii="Times New Roman" w:hAnsi="Times New Roman"/>
          <w:sz w:val="24"/>
          <w:szCs w:val="24"/>
        </w:rPr>
        <w:t>, ‘</w:t>
      </w:r>
      <w:r w:rsidR="006E1802" w:rsidRPr="00C243C8">
        <w:rPr>
          <w:rFonts w:ascii="Times New Roman" w:hAnsi="Times New Roman"/>
          <w:i/>
          <w:iCs/>
          <w:sz w:val="24"/>
          <w:szCs w:val="24"/>
        </w:rPr>
        <w:t xml:space="preserve">Agricultural development and land policy in Vietnam’, </w:t>
      </w:r>
      <w:r w:rsidR="006E1802" w:rsidRPr="00C243C8">
        <w:rPr>
          <w:rFonts w:ascii="Times New Roman" w:hAnsi="Times New Roman"/>
          <w:iCs/>
          <w:sz w:val="24"/>
          <w:szCs w:val="24"/>
        </w:rPr>
        <w:t>ACIAR Monograph No 123, Australian Centre for International Agricultural Research</w:t>
      </w:r>
      <w:r w:rsidR="006E1802">
        <w:rPr>
          <w:rFonts w:ascii="Times New Roman" w:hAnsi="Times New Roman"/>
          <w:sz w:val="24"/>
          <w:szCs w:val="24"/>
        </w:rPr>
        <w:t>, 2006.</w:t>
      </w:r>
    </w:p>
    <w:p w14:paraId="3951BED0" w14:textId="147EF12F" w:rsidR="00CF4538" w:rsidRDefault="00CF4538" w:rsidP="00AD7A7B">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[18]</w:t>
      </w:r>
      <w:r w:rsidR="005E2AEB">
        <w:rPr>
          <w:rFonts w:ascii="Times New Roman" w:hAnsi="Times New Roman"/>
          <w:sz w:val="24"/>
          <w:szCs w:val="24"/>
        </w:rPr>
        <w:t xml:space="preserve"> </w:t>
      </w:r>
      <w:r w:rsidR="005E2AEB">
        <w:rPr>
          <w:rFonts w:ascii="Times New Roman" w:hAnsi="Times New Roman"/>
          <w:sz w:val="24"/>
          <w:szCs w:val="24"/>
        </w:rPr>
        <w:t>Brü</w:t>
      </w:r>
      <w:r w:rsidR="005E2AEB">
        <w:rPr>
          <w:rFonts w:ascii="Times New Roman" w:hAnsi="Times New Roman"/>
          <w:sz w:val="24"/>
          <w:szCs w:val="24"/>
        </w:rPr>
        <w:t>mmer, B, Glauben, T &amp; Lu, W.</w:t>
      </w:r>
      <w:r w:rsidR="005E2AEB">
        <w:rPr>
          <w:rFonts w:ascii="Times New Roman" w:hAnsi="Times New Roman"/>
          <w:sz w:val="24"/>
          <w:szCs w:val="24"/>
        </w:rPr>
        <w:t>, ‘</w:t>
      </w:r>
      <w:r w:rsidR="005E2AEB" w:rsidRPr="00F0139D">
        <w:rPr>
          <w:rFonts w:ascii="Times New Roman" w:hAnsi="Times New Roman"/>
          <w:sz w:val="24"/>
          <w:szCs w:val="24"/>
        </w:rPr>
        <w:t>Policy reform and productivity change in Chinese agriculture: A distance function approach</w:t>
      </w:r>
      <w:r w:rsidR="005E2AEB">
        <w:rPr>
          <w:rFonts w:ascii="Times New Roman" w:hAnsi="Times New Roman"/>
          <w:sz w:val="24"/>
          <w:szCs w:val="24"/>
        </w:rPr>
        <w:t xml:space="preserve">’, </w:t>
      </w:r>
      <w:r w:rsidR="005E2AEB" w:rsidRPr="00F0139D">
        <w:rPr>
          <w:rFonts w:ascii="Times New Roman" w:hAnsi="Times New Roman"/>
          <w:i/>
          <w:iCs/>
          <w:sz w:val="24"/>
          <w:szCs w:val="24"/>
        </w:rPr>
        <w:t>Journal of Development Economics</w:t>
      </w:r>
      <w:r w:rsidR="005E2AEB" w:rsidRPr="00F0139D">
        <w:rPr>
          <w:rFonts w:ascii="Times New Roman" w:hAnsi="Times New Roman"/>
          <w:sz w:val="24"/>
          <w:szCs w:val="24"/>
        </w:rPr>
        <w:t xml:space="preserve">, </w:t>
      </w:r>
      <w:r w:rsidR="005E2AEB">
        <w:rPr>
          <w:rFonts w:ascii="Times New Roman" w:hAnsi="Times New Roman"/>
          <w:sz w:val="24"/>
          <w:szCs w:val="24"/>
        </w:rPr>
        <w:t xml:space="preserve">vol. </w:t>
      </w:r>
      <w:r w:rsidR="005E2AEB" w:rsidRPr="00F0139D">
        <w:rPr>
          <w:rFonts w:ascii="Times New Roman" w:hAnsi="Times New Roman"/>
          <w:sz w:val="24"/>
          <w:szCs w:val="24"/>
        </w:rPr>
        <w:t>81</w:t>
      </w:r>
      <w:r w:rsidR="005E2AEB">
        <w:rPr>
          <w:rFonts w:ascii="Times New Roman" w:hAnsi="Times New Roman"/>
          <w:sz w:val="24"/>
          <w:szCs w:val="24"/>
        </w:rPr>
        <w:t>, no. 1</w:t>
      </w:r>
      <w:r w:rsidR="005E2AEB" w:rsidRPr="00F0139D">
        <w:rPr>
          <w:rFonts w:ascii="Times New Roman" w:hAnsi="Times New Roman"/>
          <w:sz w:val="24"/>
          <w:szCs w:val="24"/>
        </w:rPr>
        <w:t>, pp.61–79</w:t>
      </w:r>
      <w:r w:rsidR="005E2AEB">
        <w:rPr>
          <w:rFonts w:ascii="Times New Roman" w:hAnsi="Times New Roman"/>
          <w:sz w:val="24"/>
          <w:szCs w:val="24"/>
        </w:rPr>
        <w:t>, 2006.</w:t>
      </w:r>
    </w:p>
    <w:p w14:paraId="1FF8066F" w14:textId="57C41FE5" w:rsidR="00CA3886" w:rsidRPr="00AD7A7B" w:rsidRDefault="00CF4538" w:rsidP="00AD7A7B">
      <w:pPr>
        <w:pStyle w:val="NormalWeb"/>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[19]</w:t>
      </w:r>
      <w:r w:rsidR="00AD7A7B">
        <w:rPr>
          <w:rFonts w:ascii="Times New Roman" w:hAnsi="Times New Roman"/>
          <w:sz w:val="24"/>
          <w:szCs w:val="24"/>
        </w:rPr>
        <w:t xml:space="preserve"> </w:t>
      </w:r>
      <w:r w:rsidR="00AD7A7B" w:rsidRPr="00C243C8">
        <w:rPr>
          <w:rFonts w:ascii="Times New Roman" w:hAnsi="Times New Roman"/>
          <w:sz w:val="24"/>
          <w:szCs w:val="24"/>
        </w:rPr>
        <w:t xml:space="preserve">McPherson, MF 2012, ‘Land policy in Vietnam: challenges and prospects for constructive change’, </w:t>
      </w:r>
      <w:r w:rsidR="00AD7A7B" w:rsidRPr="00C243C8">
        <w:rPr>
          <w:rFonts w:ascii="Times New Roman" w:hAnsi="Times New Roman"/>
          <w:i/>
          <w:iCs/>
          <w:sz w:val="24"/>
          <w:szCs w:val="24"/>
        </w:rPr>
        <w:t>Journal of Macro marketing</w:t>
      </w:r>
      <w:r w:rsidR="00AD7A7B">
        <w:rPr>
          <w:rFonts w:ascii="Times New Roman" w:hAnsi="Times New Roman"/>
          <w:sz w:val="24"/>
          <w:szCs w:val="24"/>
        </w:rPr>
        <w:t>, vol. 32, no. 1, pp.137–46, 2012.</w:t>
      </w:r>
    </w:p>
    <w:p w14:paraId="7E2D078C" w14:textId="1A0885EF" w:rsidR="00591EFC" w:rsidRPr="00AD7A7B" w:rsidRDefault="00016A13" w:rsidP="00AD7A7B">
      <w:pPr>
        <w:widowControl w:val="0"/>
        <w:tabs>
          <w:tab w:val="left" w:pos="1094"/>
        </w:tabs>
        <w:autoSpaceDE w:val="0"/>
        <w:autoSpaceDN w:val="0"/>
        <w:adjustRightInd w:val="0"/>
        <w:spacing w:line="480" w:lineRule="auto"/>
        <w:ind w:firstLine="567"/>
        <w:jc w:val="both"/>
        <w:rPr>
          <w:rFonts w:ascii="Times New Roman" w:hAnsi="Times New Roman" w:cs="Times New Roman"/>
          <w:color w:val="000000" w:themeColor="text1"/>
          <w:kern w:val="1"/>
          <w:lang w:val="en-US"/>
        </w:rPr>
      </w:pPr>
      <w:r>
        <w:rPr>
          <w:rFonts w:ascii="Times New Roman" w:hAnsi="Times New Roman" w:cs="Times New Roman"/>
          <w:color w:val="000000" w:themeColor="text1"/>
          <w:kern w:val="1"/>
          <w:lang w:val="en-US"/>
        </w:rPr>
        <w:tab/>
      </w:r>
    </w:p>
    <w:sectPr w:rsidR="00591EFC" w:rsidRPr="00AD7A7B" w:rsidSect="00015FBB">
      <w:footerReference w:type="even" r:id="rId12"/>
      <w:footerReference w:type="default" r:id="rId13"/>
      <w:pgSz w:w="11900" w:h="16840"/>
      <w:pgMar w:top="1361" w:right="1361" w:bottom="136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0C68" w14:textId="77777777" w:rsidR="00DA5027" w:rsidRDefault="00DA5027" w:rsidP="00271AAC">
      <w:r>
        <w:separator/>
      </w:r>
    </w:p>
  </w:endnote>
  <w:endnote w:type="continuationSeparator" w:id="0">
    <w:p w14:paraId="545DB56F" w14:textId="77777777" w:rsidR="00DA5027" w:rsidRDefault="00DA5027" w:rsidP="0027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E2FD" w14:textId="77777777" w:rsidR="00D033A3" w:rsidRDefault="00D033A3" w:rsidP="00591E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69DE9" w14:textId="77777777" w:rsidR="00D033A3" w:rsidRDefault="00D033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0938" w14:textId="77777777" w:rsidR="00D033A3" w:rsidRDefault="00D033A3" w:rsidP="00591E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E32">
      <w:rPr>
        <w:rStyle w:val="PageNumber"/>
        <w:noProof/>
      </w:rPr>
      <w:t>6</w:t>
    </w:r>
    <w:r>
      <w:rPr>
        <w:rStyle w:val="PageNumber"/>
      </w:rPr>
      <w:fldChar w:fldCharType="end"/>
    </w:r>
  </w:p>
  <w:p w14:paraId="1E4325DB" w14:textId="77777777" w:rsidR="00D033A3" w:rsidRDefault="00D033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A334" w14:textId="77777777" w:rsidR="00DA5027" w:rsidRDefault="00DA5027" w:rsidP="00271AAC">
      <w:r>
        <w:separator/>
      </w:r>
    </w:p>
  </w:footnote>
  <w:footnote w:type="continuationSeparator" w:id="0">
    <w:p w14:paraId="200371FD" w14:textId="77777777" w:rsidR="00DA5027" w:rsidRDefault="00DA5027" w:rsidP="00271AAC">
      <w:r>
        <w:continuationSeparator/>
      </w:r>
    </w:p>
  </w:footnote>
  <w:footnote w:id="1">
    <w:p w14:paraId="4047ACFD" w14:textId="2863C145" w:rsidR="00D033A3" w:rsidRPr="00B674D4" w:rsidRDefault="00D033A3" w:rsidP="00015FBB">
      <w:pPr>
        <w:pStyle w:val="HTMLPreformatted"/>
        <w:jc w:val="both"/>
        <w:rPr>
          <w:rFonts w:ascii="inherit" w:hAnsi="inherit"/>
          <w:color w:val="212121"/>
          <w:lang w:val="vi-VN"/>
        </w:rPr>
      </w:pPr>
      <w:r w:rsidRPr="0078000C">
        <w:rPr>
          <w:rStyle w:val="FootnoteReference"/>
          <w:rFonts w:ascii="Times New Roman" w:hAnsi="Times New Roman" w:cs="Times New Roman"/>
        </w:rPr>
        <w:footnoteRef/>
      </w:r>
      <w:r>
        <w:rPr>
          <w:rFonts w:ascii="inherit" w:hAnsi="inherit"/>
          <w:color w:val="212121"/>
          <w:lang w:val="vi-VN"/>
        </w:rPr>
        <w:t>Quan điểm này có thể thấy trong Nghị quyế</w:t>
      </w:r>
      <w:r w:rsidR="00CE4DDB">
        <w:rPr>
          <w:rFonts w:ascii="inherit" w:hAnsi="inherit"/>
          <w:color w:val="212121"/>
          <w:lang w:val="vi-VN"/>
        </w:rPr>
        <w:t>t 09/</w:t>
      </w:r>
      <w:r>
        <w:rPr>
          <w:rFonts w:ascii="inherit" w:hAnsi="inherit"/>
          <w:color w:val="212121"/>
          <w:lang w:val="vi-VN"/>
        </w:rPr>
        <w:t>NQ-CQ về "Một số chính sách và biện pháp thúc đẩy phân phối nông sản" do Chính phủ Việt Nam ban hành ngày 15 tháng 6 năm 2000.</w:t>
      </w:r>
      <w:r w:rsidRPr="0078000C">
        <w:rPr>
          <w:rFonts w:ascii="Times New Roman" w:hAnsi="Times New Roman" w:cs="Times New Roman"/>
        </w:rPr>
        <w:t xml:space="preserve"> </w:t>
      </w:r>
    </w:p>
  </w:footnote>
  <w:footnote w:id="2">
    <w:p w14:paraId="18C43D0E" w14:textId="38809B6B" w:rsidR="00D033A3" w:rsidRPr="00B674D4" w:rsidRDefault="00D033A3" w:rsidP="00015FBB">
      <w:pPr>
        <w:pStyle w:val="HTMLPreformatted"/>
        <w:jc w:val="both"/>
        <w:rPr>
          <w:rFonts w:ascii="inherit" w:hAnsi="inherit"/>
          <w:color w:val="212121"/>
        </w:rPr>
      </w:pPr>
      <w:r w:rsidRPr="0078000C">
        <w:rPr>
          <w:rStyle w:val="FootnoteReference"/>
          <w:rFonts w:ascii="Times New Roman" w:hAnsi="Times New Roman" w:cs="Times New Roman"/>
        </w:rPr>
        <w:footnoteRef/>
      </w:r>
      <w:r>
        <w:rPr>
          <w:rFonts w:ascii="inherit" w:hAnsi="inherit"/>
          <w:color w:val="212121"/>
          <w:lang w:val="vi-VN"/>
        </w:rPr>
        <w:t>Vấn đề giữ đất ruộng và hạn chế chuyển đổi đất trồng lúa đã được các nhà hoạch định chính sách của Việt Nam quan tâm. Chính sách quan trọng nhất liên quan đến đất lúa là Nghị quyết 26/NQ/TW về nông nghiệp, nông dân và phát triển nông thôn ban hành ngày 05 tháng 8 năm 2007. Nghị quyết 26 quy định cần duy trì đất trồng lúa phù hợp. Ngoài ra, theo Luật Đất đai năm 2013, người trồng lúa bị hạn chế chuyển đổi mục đích sử dụng đất và cần phải được phép của chính quyền địa phương. Việc chuyển đổi đất lúa phải được phê duyệt theo quy hoạch quy hoạch sử dụng đất từ ​​cấp xã đến cấp tỉnh. Các chính sách khác bao gồm Nghị quyết 63 năm 2009 về đảm bảo an ninh lương thực quốc gia và Nghị định 42 (2012) về quản lý và sử dụng đất lúa.</w:t>
      </w:r>
    </w:p>
    <w:p w14:paraId="3B66FF14" w14:textId="77777777" w:rsidR="00D033A3" w:rsidRPr="0078000C" w:rsidRDefault="00D033A3" w:rsidP="00015FBB">
      <w:pPr>
        <w:pStyle w:val="FootnoteText"/>
        <w:jc w:val="both"/>
        <w:rPr>
          <w:rFonts w:ascii="Times New Roman" w:hAnsi="Times New Roman" w:cs="Times New Roman"/>
          <w:sz w:val="20"/>
          <w:szCs w:val="20"/>
          <w:lang w:val="en-US"/>
        </w:rPr>
      </w:pPr>
    </w:p>
  </w:footnote>
  <w:footnote w:id="3">
    <w:p w14:paraId="3855330D" w14:textId="388C6DFB" w:rsidR="00D033A3" w:rsidRPr="00BA2C80" w:rsidRDefault="00D033A3" w:rsidP="00BA2C80">
      <w:pPr>
        <w:pStyle w:val="HTMLPreformatted"/>
        <w:jc w:val="both"/>
        <w:rPr>
          <w:rFonts w:ascii="Times New Roman" w:hAnsi="Times New Roman" w:cs="Times New Roman"/>
          <w:color w:val="212121"/>
        </w:rPr>
      </w:pPr>
      <w:r w:rsidRPr="00BA2C80">
        <w:rPr>
          <w:rStyle w:val="FootnoteReference"/>
          <w:rFonts w:ascii="Times New Roman" w:hAnsi="Times New Roman" w:cs="Times New Roman"/>
        </w:rPr>
        <w:footnoteRef/>
      </w:r>
      <w:r w:rsidRPr="00BA2C80">
        <w:rPr>
          <w:rFonts w:ascii="Times New Roman" w:hAnsi="Times New Roman" w:cs="Times New Roman"/>
          <w:color w:val="000000" w:themeColor="text1"/>
        </w:rPr>
        <w:t xml:space="preserve"> </w:t>
      </w:r>
      <w:r w:rsidRPr="00BA2C80">
        <w:rPr>
          <w:rFonts w:ascii="Times New Roman" w:hAnsi="Times New Roman" w:cs="Times New Roman"/>
          <w:color w:val="212121"/>
          <w:lang w:val="vi-VN"/>
        </w:rPr>
        <w:t>Tron</w:t>
      </w:r>
      <w:r>
        <w:rPr>
          <w:rFonts w:ascii="Times New Roman" w:hAnsi="Times New Roman" w:cs="Times New Roman"/>
          <w:color w:val="212121"/>
          <w:lang w:val="vi-VN"/>
        </w:rPr>
        <w:t>g năm 2013, 42.785 gia đình đã trả lại</w:t>
      </w:r>
      <w:r w:rsidRPr="00BA2C80">
        <w:rPr>
          <w:rFonts w:ascii="Times New Roman" w:hAnsi="Times New Roman" w:cs="Times New Roman"/>
          <w:color w:val="212121"/>
          <w:lang w:val="vi-VN"/>
        </w:rPr>
        <w:t xml:space="preserve"> 6.882 ha diệ</w:t>
      </w:r>
      <w:r>
        <w:rPr>
          <w:rFonts w:ascii="Times New Roman" w:hAnsi="Times New Roman" w:cs="Times New Roman"/>
          <w:color w:val="212121"/>
          <w:lang w:val="vi-VN"/>
        </w:rPr>
        <w:t>n tích canh tác</w:t>
      </w:r>
      <w:r w:rsidRPr="00BA2C80">
        <w:rPr>
          <w:rFonts w:ascii="Times New Roman" w:hAnsi="Times New Roman" w:cs="Times New Roman"/>
          <w:color w:val="212121"/>
          <w:lang w:val="vi-VN"/>
        </w:rPr>
        <w:t>. Hơn 3.407 gia đình đã trả lại trên 433 ha đất cho chính quyền địa phương. Một số nông dân cho biết thu nhập họ kiếm được từ trồng lúa đã bị thu hẹp. Một vài trăm mét vuông đất chỉ có thể cung cấp cho họ vớ</w:t>
      </w:r>
      <w:r>
        <w:rPr>
          <w:rFonts w:ascii="Times New Roman" w:hAnsi="Times New Roman" w:cs="Times New Roman"/>
          <w:color w:val="212121"/>
          <w:lang w:val="vi-VN"/>
        </w:rPr>
        <w:t>i trung bình là $</w:t>
      </w:r>
      <w:r w:rsidRPr="00BA2C80">
        <w:rPr>
          <w:rFonts w:ascii="Times New Roman" w:hAnsi="Times New Roman" w:cs="Times New Roman"/>
          <w:color w:val="212121"/>
          <w:lang w:val="vi-VN"/>
        </w:rPr>
        <w:t>2,37 đế</w:t>
      </w:r>
      <w:r>
        <w:rPr>
          <w:rFonts w:ascii="Times New Roman" w:hAnsi="Times New Roman" w:cs="Times New Roman"/>
          <w:color w:val="212121"/>
          <w:lang w:val="vi-VN"/>
        </w:rPr>
        <w:t>n $</w:t>
      </w:r>
      <w:r w:rsidRPr="00BA2C80">
        <w:rPr>
          <w:rFonts w:ascii="Times New Roman" w:hAnsi="Times New Roman" w:cs="Times New Roman"/>
          <w:color w:val="212121"/>
          <w:lang w:val="vi-VN"/>
        </w:rPr>
        <w:t>3,79 một tháng</w:t>
      </w:r>
      <w:r>
        <w:rPr>
          <w:rFonts w:ascii="Times New Roman" w:hAnsi="Times New Roman" w:cs="Times New Roman"/>
          <w:color w:val="212121"/>
          <w:lang w:val="vi-VN"/>
        </w:rPr>
        <w:t>:</w:t>
      </w:r>
    </w:p>
    <w:p w14:paraId="3794512A" w14:textId="77777777" w:rsidR="00D033A3" w:rsidRPr="00BA2C80" w:rsidRDefault="00D033A3" w:rsidP="00BA2C80">
      <w:pPr>
        <w:pStyle w:val="FootnoteText"/>
        <w:jc w:val="both"/>
        <w:rPr>
          <w:rFonts w:ascii="Times New Roman" w:hAnsi="Times New Roman" w:cs="Times New Roman"/>
          <w:color w:val="000000" w:themeColor="text1"/>
          <w:sz w:val="20"/>
          <w:szCs w:val="20"/>
        </w:rPr>
      </w:pPr>
      <w:r w:rsidRPr="00BA2C80">
        <w:rPr>
          <w:rFonts w:ascii="Times New Roman" w:hAnsi="Times New Roman" w:cs="Times New Roman"/>
          <w:color w:val="000000" w:themeColor="text1"/>
          <w:sz w:val="20"/>
          <w:szCs w:val="20"/>
        </w:rPr>
        <w:t>(</w:t>
      </w:r>
      <w:hyperlink r:id="rId1" w:history="1">
        <w:r w:rsidRPr="00BA2C80">
          <w:rPr>
            <w:rStyle w:val="Hyperlink"/>
            <w:rFonts w:ascii="Times New Roman" w:hAnsi="Times New Roman" w:cs="Times New Roman"/>
            <w:color w:val="000000" w:themeColor="text1"/>
            <w:sz w:val="20"/>
            <w:szCs w:val="20"/>
            <w:u w:val="none"/>
          </w:rPr>
          <w:t>http://thediplomat.com/2013/12/vietnamese-rice-farmers-abandon-their-fields/</w:t>
        </w:r>
      </w:hyperlink>
      <w:r w:rsidRPr="00BA2C80">
        <w:rPr>
          <w:rStyle w:val="Hyperlink"/>
          <w:rFonts w:ascii="Times New Roman" w:hAnsi="Times New Roman" w:cs="Times New Roman"/>
          <w:color w:val="000000" w:themeColor="text1"/>
          <w:sz w:val="20"/>
          <w:szCs w:val="20"/>
          <w:u w:val="none"/>
        </w:rPr>
        <w:t>; www.mard.gov.vn</w:t>
      </w:r>
      <w:r w:rsidRPr="00BA2C80">
        <w:rPr>
          <w:rFonts w:ascii="Times New Roman" w:hAnsi="Times New Roman" w:cs="Times New Roman"/>
          <w:color w:val="000000" w:themeColor="text1"/>
          <w:sz w:val="20"/>
          <w:szCs w:val="20"/>
        </w:rPr>
        <w:t>)</w:t>
      </w:r>
    </w:p>
  </w:footnote>
  <w:footnote w:id="4">
    <w:p w14:paraId="7EC059D5" w14:textId="2970DBFE" w:rsidR="00D033A3" w:rsidRPr="00D37A67" w:rsidRDefault="00D033A3" w:rsidP="00EC7BC2">
      <w:pPr>
        <w:pStyle w:val="FootnoteText"/>
        <w:jc w:val="both"/>
        <w:rPr>
          <w:rFonts w:ascii="Times New Roman" w:hAnsi="Times New Roman" w:cs="Times New Roman"/>
          <w:sz w:val="20"/>
          <w:szCs w:val="20"/>
        </w:rPr>
      </w:pPr>
      <w:r w:rsidRPr="00D37A67">
        <w:rPr>
          <w:rStyle w:val="FootnoteReference"/>
          <w:rFonts w:ascii="Times New Roman" w:hAnsi="Times New Roman" w:cs="Times New Roman"/>
          <w:sz w:val="20"/>
          <w:szCs w:val="20"/>
        </w:rPr>
        <w:footnoteRef/>
      </w:r>
      <w:r w:rsidRPr="00D37A67">
        <w:rPr>
          <w:rFonts w:ascii="Times New Roman" w:hAnsi="Times New Roman" w:cs="Times New Roman"/>
          <w:sz w:val="20"/>
          <w:szCs w:val="20"/>
        </w:rPr>
        <w:t>Tham khảo bằng chứng về hộ gia đình chuyển đối cơ cấu cây trồng</w:t>
      </w:r>
      <w:r>
        <w:rPr>
          <w:rFonts w:ascii="Times New Roman" w:hAnsi="Times New Roman" w:cs="Times New Roman"/>
          <w:sz w:val="20"/>
          <w:szCs w:val="20"/>
        </w:rPr>
        <w:t>:</w:t>
      </w:r>
    </w:p>
    <w:p w14:paraId="5A9E3C6F" w14:textId="344329F4" w:rsidR="00D033A3" w:rsidRPr="000763AA" w:rsidRDefault="00DA5027" w:rsidP="00EC7BC2">
      <w:pPr>
        <w:pStyle w:val="FootnoteText"/>
        <w:jc w:val="both"/>
        <w:rPr>
          <w:rFonts w:ascii="Times New Roman" w:hAnsi="Times New Roman" w:cs="Times New Roman"/>
          <w:color w:val="000000" w:themeColor="text1"/>
          <w:sz w:val="20"/>
          <w:szCs w:val="20"/>
        </w:rPr>
      </w:pPr>
      <w:hyperlink r:id="rId2" w:history="1">
        <w:r w:rsidR="00D033A3" w:rsidRPr="000763AA">
          <w:rPr>
            <w:rStyle w:val="Hyperlink"/>
            <w:rFonts w:ascii="Times New Roman" w:hAnsi="Times New Roman" w:cs="Times New Roman"/>
            <w:color w:val="000000" w:themeColor="text1"/>
            <w:spacing w:val="-2"/>
            <w:sz w:val="20"/>
            <w:szCs w:val="20"/>
            <w:u w:val="none"/>
          </w:rPr>
          <w:t>http://www.bloomberg.com/news/2013-09-12/vietnam-s-rice-output-faces-slide-on-crop-switch-southeast-asia.html</w:t>
        </w:r>
      </w:hyperlink>
    </w:p>
  </w:footnote>
  <w:footnote w:id="5">
    <w:p w14:paraId="038156EE" w14:textId="3E9C2910" w:rsidR="00D033A3" w:rsidRPr="00BA2C80" w:rsidRDefault="00D033A3" w:rsidP="00BA2C80">
      <w:pPr>
        <w:pStyle w:val="HTMLPreformatted"/>
        <w:jc w:val="both"/>
        <w:rPr>
          <w:rFonts w:ascii="Times New Roman" w:hAnsi="Times New Roman" w:cs="Times New Roman"/>
          <w:color w:val="212121"/>
        </w:rPr>
      </w:pPr>
      <w:r w:rsidRPr="00BA2C80">
        <w:rPr>
          <w:rStyle w:val="FootnoteReference"/>
          <w:rFonts w:ascii="Times New Roman" w:hAnsi="Times New Roman" w:cs="Times New Roman"/>
        </w:rPr>
        <w:footnoteRef/>
      </w:r>
      <w:r w:rsidRPr="00BA2C80">
        <w:rPr>
          <w:rFonts w:ascii="Times New Roman" w:hAnsi="Times New Roman" w:cs="Times New Roman"/>
          <w:color w:val="000000" w:themeColor="text1"/>
        </w:rPr>
        <w:t xml:space="preserve"> </w:t>
      </w:r>
      <w:r w:rsidRPr="00BA2C80">
        <w:rPr>
          <w:rFonts w:ascii="Times New Roman" w:hAnsi="Times New Roman" w:cs="Times New Roman"/>
          <w:color w:val="212121"/>
          <w:lang w:val="vi-VN"/>
        </w:rPr>
        <w:t xml:space="preserve">Bộ Nông nghiệp và Phát triển Nông thôn Việt Nam đã lên kế hoạch chuyển 200.000 ha đất trồng lúa sang trồng các cây có giá trị cao </w:t>
      </w:r>
      <w:r>
        <w:rPr>
          <w:rFonts w:ascii="Times New Roman" w:hAnsi="Times New Roman" w:cs="Times New Roman"/>
          <w:color w:val="212121"/>
          <w:lang w:val="vi-VN"/>
        </w:rPr>
        <w:t xml:space="preserve">hơn </w:t>
      </w:r>
      <w:r w:rsidRPr="00BA2C80">
        <w:rPr>
          <w:rFonts w:ascii="Times New Roman" w:hAnsi="Times New Roman" w:cs="Times New Roman"/>
          <w:color w:val="212121"/>
          <w:lang w:val="vi-VN"/>
        </w:rPr>
        <w:t>ở đồng bằng sông Cử</w:t>
      </w:r>
      <w:r>
        <w:rPr>
          <w:rFonts w:ascii="Times New Roman" w:hAnsi="Times New Roman" w:cs="Times New Roman"/>
          <w:color w:val="212121"/>
          <w:lang w:val="vi-VN"/>
        </w:rPr>
        <w:t xml:space="preserve">u Long. </w:t>
      </w:r>
      <w:r w:rsidRPr="00BA2C80">
        <w:rPr>
          <w:rFonts w:ascii="Times New Roman" w:hAnsi="Times New Roman" w:cs="Times New Roman"/>
          <w:color w:val="212121"/>
          <w:lang w:val="vi-VN"/>
        </w:rPr>
        <w:t>Ngoài ra, các vùng trồng lúa khác cũng đã bắt đầu chuyển đổi cây trồng</w:t>
      </w:r>
      <w:r>
        <w:rPr>
          <w:rFonts w:ascii="Times New Roman" w:hAnsi="Times New Roman" w:cs="Times New Roman"/>
          <w:color w:val="212121"/>
          <w:lang w:val="vi-VN"/>
        </w:rPr>
        <w:t xml:space="preserve"> </w:t>
      </w:r>
      <w:r w:rsidRPr="00BA2C80">
        <w:rPr>
          <w:rFonts w:ascii="Times New Roman" w:hAnsi="Times New Roman" w:cs="Times New Roman"/>
          <w:color w:val="000000" w:themeColor="text1"/>
        </w:rPr>
        <w:t>(</w:t>
      </w:r>
      <w:hyperlink r:id="rId3" w:history="1">
        <w:r w:rsidRPr="00BA2C80">
          <w:rPr>
            <w:rStyle w:val="Hyperlink"/>
            <w:rFonts w:ascii="Times New Roman" w:hAnsi="Times New Roman" w:cs="Times New Roman"/>
            <w:color w:val="000000" w:themeColor="text1"/>
            <w:u w:val="none"/>
          </w:rPr>
          <w:t>www.mard.gov.vn</w:t>
        </w:r>
      </w:hyperlink>
      <w:r w:rsidRPr="00BA2C80">
        <w:rPr>
          <w:rFonts w:ascii="Times New Roman" w:hAnsi="Times New Roman" w:cs="Times New Roman"/>
          <w:color w:val="000000" w:themeColor="text1"/>
        </w:rPr>
        <w:t>).</w:t>
      </w:r>
    </w:p>
    <w:p w14:paraId="13F08B75" w14:textId="77777777" w:rsidR="00D033A3" w:rsidRPr="00B26FF3" w:rsidRDefault="00D033A3" w:rsidP="00EC7BC2">
      <w:pPr>
        <w:pStyle w:val="FootnoteText"/>
        <w:rPr>
          <w:rFonts w:ascii="Times New Roman" w:hAnsi="Times New Roman" w:cs="Times New Roman"/>
          <w:color w:val="000000" w:themeColor="text1"/>
          <w:sz w:val="20"/>
          <w:szCs w:val="2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AC"/>
    <w:rsid w:val="00012427"/>
    <w:rsid w:val="00015FBB"/>
    <w:rsid w:val="00016A13"/>
    <w:rsid w:val="00041869"/>
    <w:rsid w:val="000471C1"/>
    <w:rsid w:val="00067E2A"/>
    <w:rsid w:val="00072438"/>
    <w:rsid w:val="0007764C"/>
    <w:rsid w:val="00082E37"/>
    <w:rsid w:val="0008565B"/>
    <w:rsid w:val="000909E4"/>
    <w:rsid w:val="000B52CE"/>
    <w:rsid w:val="000D304C"/>
    <w:rsid w:val="000D60F5"/>
    <w:rsid w:val="000E791E"/>
    <w:rsid w:val="00123463"/>
    <w:rsid w:val="00133A07"/>
    <w:rsid w:val="00145B2A"/>
    <w:rsid w:val="00166162"/>
    <w:rsid w:val="00185D21"/>
    <w:rsid w:val="00186898"/>
    <w:rsid w:val="001C4B7F"/>
    <w:rsid w:val="001C7F73"/>
    <w:rsid w:val="001D65D9"/>
    <w:rsid w:val="00202939"/>
    <w:rsid w:val="002154DA"/>
    <w:rsid w:val="00215621"/>
    <w:rsid w:val="00233B20"/>
    <w:rsid w:val="00253551"/>
    <w:rsid w:val="00263021"/>
    <w:rsid w:val="00271AAC"/>
    <w:rsid w:val="002731F6"/>
    <w:rsid w:val="002761E9"/>
    <w:rsid w:val="00280D77"/>
    <w:rsid w:val="0028233F"/>
    <w:rsid w:val="00282904"/>
    <w:rsid w:val="002D5C7E"/>
    <w:rsid w:val="002D7AEB"/>
    <w:rsid w:val="002E6B5F"/>
    <w:rsid w:val="003425E5"/>
    <w:rsid w:val="00364FEE"/>
    <w:rsid w:val="0037705A"/>
    <w:rsid w:val="00386EBC"/>
    <w:rsid w:val="0039718F"/>
    <w:rsid w:val="003973F4"/>
    <w:rsid w:val="003B7A9B"/>
    <w:rsid w:val="003D3CAD"/>
    <w:rsid w:val="003D483E"/>
    <w:rsid w:val="003F390F"/>
    <w:rsid w:val="00420045"/>
    <w:rsid w:val="00420605"/>
    <w:rsid w:val="00424F8D"/>
    <w:rsid w:val="00435C77"/>
    <w:rsid w:val="004366C0"/>
    <w:rsid w:val="00436EFD"/>
    <w:rsid w:val="00442D4E"/>
    <w:rsid w:val="00451827"/>
    <w:rsid w:val="00472812"/>
    <w:rsid w:val="00473BAA"/>
    <w:rsid w:val="00477702"/>
    <w:rsid w:val="004910D9"/>
    <w:rsid w:val="004A0028"/>
    <w:rsid w:val="004A3DF2"/>
    <w:rsid w:val="004D30C8"/>
    <w:rsid w:val="00502416"/>
    <w:rsid w:val="005346BF"/>
    <w:rsid w:val="00537F89"/>
    <w:rsid w:val="00545EEB"/>
    <w:rsid w:val="00571E56"/>
    <w:rsid w:val="00576672"/>
    <w:rsid w:val="00580EC3"/>
    <w:rsid w:val="00581FB3"/>
    <w:rsid w:val="00591EFC"/>
    <w:rsid w:val="005B18C1"/>
    <w:rsid w:val="005C0E32"/>
    <w:rsid w:val="005C1280"/>
    <w:rsid w:val="005C4909"/>
    <w:rsid w:val="005D41E8"/>
    <w:rsid w:val="005D7AD7"/>
    <w:rsid w:val="005E2AEB"/>
    <w:rsid w:val="005E5122"/>
    <w:rsid w:val="005E64A1"/>
    <w:rsid w:val="00621872"/>
    <w:rsid w:val="00627016"/>
    <w:rsid w:val="0067194F"/>
    <w:rsid w:val="00682C04"/>
    <w:rsid w:val="006D0A62"/>
    <w:rsid w:val="006E1802"/>
    <w:rsid w:val="006F5BD5"/>
    <w:rsid w:val="0070669F"/>
    <w:rsid w:val="00714A62"/>
    <w:rsid w:val="007236F3"/>
    <w:rsid w:val="00751AFE"/>
    <w:rsid w:val="00754AB5"/>
    <w:rsid w:val="00787CBB"/>
    <w:rsid w:val="0079251C"/>
    <w:rsid w:val="007A02A4"/>
    <w:rsid w:val="007A631E"/>
    <w:rsid w:val="007A6C66"/>
    <w:rsid w:val="007B6811"/>
    <w:rsid w:val="007C2480"/>
    <w:rsid w:val="007E28E6"/>
    <w:rsid w:val="00801958"/>
    <w:rsid w:val="0083473C"/>
    <w:rsid w:val="00861433"/>
    <w:rsid w:val="0087710B"/>
    <w:rsid w:val="00890C0E"/>
    <w:rsid w:val="008A1D4A"/>
    <w:rsid w:val="008C0849"/>
    <w:rsid w:val="0090049E"/>
    <w:rsid w:val="00925263"/>
    <w:rsid w:val="00953C0B"/>
    <w:rsid w:val="00954B27"/>
    <w:rsid w:val="0097123A"/>
    <w:rsid w:val="009915E3"/>
    <w:rsid w:val="00994B01"/>
    <w:rsid w:val="009B2246"/>
    <w:rsid w:val="009C226C"/>
    <w:rsid w:val="009D78AB"/>
    <w:rsid w:val="009E67C1"/>
    <w:rsid w:val="00A01609"/>
    <w:rsid w:val="00A05186"/>
    <w:rsid w:val="00A76CC1"/>
    <w:rsid w:val="00A9211A"/>
    <w:rsid w:val="00A9566B"/>
    <w:rsid w:val="00AB08CF"/>
    <w:rsid w:val="00AB183E"/>
    <w:rsid w:val="00AD7110"/>
    <w:rsid w:val="00AD7A7B"/>
    <w:rsid w:val="00AE66DD"/>
    <w:rsid w:val="00B04512"/>
    <w:rsid w:val="00B154FA"/>
    <w:rsid w:val="00B15C30"/>
    <w:rsid w:val="00B2097D"/>
    <w:rsid w:val="00B21A76"/>
    <w:rsid w:val="00B32285"/>
    <w:rsid w:val="00B33865"/>
    <w:rsid w:val="00B3667C"/>
    <w:rsid w:val="00B65195"/>
    <w:rsid w:val="00B674D4"/>
    <w:rsid w:val="00B76321"/>
    <w:rsid w:val="00BA1873"/>
    <w:rsid w:val="00BA2C80"/>
    <w:rsid w:val="00BB1952"/>
    <w:rsid w:val="00BC64EC"/>
    <w:rsid w:val="00BD5D7B"/>
    <w:rsid w:val="00BE0606"/>
    <w:rsid w:val="00BF3BCD"/>
    <w:rsid w:val="00BF478F"/>
    <w:rsid w:val="00C00066"/>
    <w:rsid w:val="00C005D0"/>
    <w:rsid w:val="00C012F1"/>
    <w:rsid w:val="00C0156C"/>
    <w:rsid w:val="00C20285"/>
    <w:rsid w:val="00C243C8"/>
    <w:rsid w:val="00C24718"/>
    <w:rsid w:val="00C26637"/>
    <w:rsid w:val="00C32F09"/>
    <w:rsid w:val="00C33D50"/>
    <w:rsid w:val="00C36E57"/>
    <w:rsid w:val="00C46BBC"/>
    <w:rsid w:val="00C46EB3"/>
    <w:rsid w:val="00C54CDB"/>
    <w:rsid w:val="00C67835"/>
    <w:rsid w:val="00C91E87"/>
    <w:rsid w:val="00CA171F"/>
    <w:rsid w:val="00CA3886"/>
    <w:rsid w:val="00CC1C64"/>
    <w:rsid w:val="00CC3819"/>
    <w:rsid w:val="00CD2761"/>
    <w:rsid w:val="00CE424D"/>
    <w:rsid w:val="00CE4DDB"/>
    <w:rsid w:val="00CE5E53"/>
    <w:rsid w:val="00CF4538"/>
    <w:rsid w:val="00D033A3"/>
    <w:rsid w:val="00D057F8"/>
    <w:rsid w:val="00D26523"/>
    <w:rsid w:val="00D303E1"/>
    <w:rsid w:val="00D37A67"/>
    <w:rsid w:val="00D37EB1"/>
    <w:rsid w:val="00D4710D"/>
    <w:rsid w:val="00D54317"/>
    <w:rsid w:val="00D81228"/>
    <w:rsid w:val="00D977E1"/>
    <w:rsid w:val="00DA3D64"/>
    <w:rsid w:val="00DA5027"/>
    <w:rsid w:val="00DC3DD2"/>
    <w:rsid w:val="00DC4568"/>
    <w:rsid w:val="00DE2C9F"/>
    <w:rsid w:val="00DF6896"/>
    <w:rsid w:val="00E0311B"/>
    <w:rsid w:val="00E206F3"/>
    <w:rsid w:val="00E509C5"/>
    <w:rsid w:val="00E549DF"/>
    <w:rsid w:val="00E61DF9"/>
    <w:rsid w:val="00E76414"/>
    <w:rsid w:val="00EC14FF"/>
    <w:rsid w:val="00EC6511"/>
    <w:rsid w:val="00EC7BC2"/>
    <w:rsid w:val="00ED473C"/>
    <w:rsid w:val="00ED6631"/>
    <w:rsid w:val="00EE34F2"/>
    <w:rsid w:val="00F10220"/>
    <w:rsid w:val="00F23A0E"/>
    <w:rsid w:val="00F258B2"/>
    <w:rsid w:val="00F25E8A"/>
    <w:rsid w:val="00F26DF6"/>
    <w:rsid w:val="00F41B65"/>
    <w:rsid w:val="00F50331"/>
    <w:rsid w:val="00F53E1F"/>
    <w:rsid w:val="00F61BCF"/>
    <w:rsid w:val="00F63AB7"/>
    <w:rsid w:val="00F70B5C"/>
    <w:rsid w:val="00F873AB"/>
    <w:rsid w:val="00F95505"/>
    <w:rsid w:val="00FC24B8"/>
    <w:rsid w:val="00FC617C"/>
    <w:rsid w:val="00FE6332"/>
    <w:rsid w:val="00FF301D"/>
    <w:rsid w:val="00FF4F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550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AAC"/>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71AAC"/>
  </w:style>
  <w:style w:type="character" w:customStyle="1" w:styleId="FootnoteTextChar">
    <w:name w:val="Footnote Text Char"/>
    <w:basedOn w:val="DefaultParagraphFont"/>
    <w:link w:val="FootnoteText"/>
    <w:rsid w:val="00271AAC"/>
    <w:rPr>
      <w:rFonts w:eastAsiaTheme="minorEastAsia"/>
      <w:lang w:val="en-AU"/>
    </w:rPr>
  </w:style>
  <w:style w:type="character" w:styleId="FootnoteReference">
    <w:name w:val="footnote reference"/>
    <w:basedOn w:val="DefaultParagraphFont"/>
    <w:unhideWhenUsed/>
    <w:rsid w:val="00271AAC"/>
    <w:rPr>
      <w:vertAlign w:val="superscript"/>
    </w:rPr>
  </w:style>
  <w:style w:type="character" w:styleId="Hyperlink">
    <w:name w:val="Hyperlink"/>
    <w:basedOn w:val="DefaultParagraphFont"/>
    <w:uiPriority w:val="99"/>
    <w:unhideWhenUsed/>
    <w:rsid w:val="00271AAC"/>
    <w:rPr>
      <w:color w:val="0563C1" w:themeColor="hyperlink"/>
      <w:u w:val="single"/>
    </w:rPr>
  </w:style>
  <w:style w:type="paragraph" w:styleId="HTMLPreformatted">
    <w:name w:val="HTML Preformatted"/>
    <w:basedOn w:val="Normal"/>
    <w:link w:val="HTMLPreformattedChar"/>
    <w:uiPriority w:val="99"/>
    <w:unhideWhenUsed/>
    <w:rsid w:val="007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rsid w:val="0079251C"/>
    <w:rPr>
      <w:rFonts w:ascii="Courier New" w:hAnsi="Courier New" w:cs="Courier New"/>
      <w:sz w:val="20"/>
      <w:szCs w:val="20"/>
    </w:rPr>
  </w:style>
  <w:style w:type="character" w:styleId="Strong">
    <w:name w:val="Strong"/>
    <w:qFormat/>
    <w:rsid w:val="000E791E"/>
    <w:rPr>
      <w:rFonts w:ascii="Arial Unicode MS" w:hAnsi="Arial Unicode MS" w:hint="default"/>
      <w:b w:val="0"/>
      <w:bCs w:val="0"/>
      <w:sz w:val="24"/>
      <w:szCs w:val="24"/>
    </w:rPr>
  </w:style>
  <w:style w:type="paragraph" w:styleId="Footer">
    <w:name w:val="footer"/>
    <w:basedOn w:val="Normal"/>
    <w:link w:val="FooterChar"/>
    <w:uiPriority w:val="99"/>
    <w:unhideWhenUsed/>
    <w:rsid w:val="00016A13"/>
    <w:pPr>
      <w:tabs>
        <w:tab w:val="center" w:pos="4680"/>
        <w:tab w:val="right" w:pos="9360"/>
      </w:tabs>
    </w:pPr>
  </w:style>
  <w:style w:type="character" w:customStyle="1" w:styleId="FooterChar">
    <w:name w:val="Footer Char"/>
    <w:basedOn w:val="DefaultParagraphFont"/>
    <w:link w:val="Footer"/>
    <w:uiPriority w:val="99"/>
    <w:rsid w:val="00016A13"/>
    <w:rPr>
      <w:rFonts w:eastAsiaTheme="minorEastAsia"/>
      <w:lang w:val="en-AU"/>
    </w:rPr>
  </w:style>
  <w:style w:type="character" w:styleId="PageNumber">
    <w:name w:val="page number"/>
    <w:basedOn w:val="DefaultParagraphFont"/>
    <w:uiPriority w:val="99"/>
    <w:semiHidden/>
    <w:unhideWhenUsed/>
    <w:rsid w:val="00016A13"/>
  </w:style>
  <w:style w:type="table" w:styleId="TableGrid">
    <w:name w:val="Table Grid"/>
    <w:basedOn w:val="TableNormal"/>
    <w:uiPriority w:val="59"/>
    <w:rsid w:val="003D483E"/>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509C5"/>
    <w:pPr>
      <w:spacing w:after="200" w:line="276" w:lineRule="auto"/>
      <w:ind w:left="720"/>
      <w:contextualSpacing/>
      <w:jc w:val="both"/>
    </w:pPr>
    <w:rPr>
      <w:rFonts w:ascii="Calibri" w:eastAsia="Calibri" w:hAnsi="Calibri" w:cs="Times New Roman"/>
      <w:sz w:val="22"/>
      <w:szCs w:val="22"/>
      <w:lang w:val="en-SG"/>
    </w:rPr>
  </w:style>
  <w:style w:type="paragraph" w:styleId="NormalWeb">
    <w:name w:val="Normal (Web)"/>
    <w:basedOn w:val="Normal"/>
    <w:uiPriority w:val="99"/>
    <w:unhideWhenUsed/>
    <w:rsid w:val="0028290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204">
      <w:bodyDiv w:val="1"/>
      <w:marLeft w:val="0"/>
      <w:marRight w:val="0"/>
      <w:marTop w:val="0"/>
      <w:marBottom w:val="0"/>
      <w:divBdr>
        <w:top w:val="none" w:sz="0" w:space="0" w:color="auto"/>
        <w:left w:val="none" w:sz="0" w:space="0" w:color="auto"/>
        <w:bottom w:val="none" w:sz="0" w:space="0" w:color="auto"/>
        <w:right w:val="none" w:sz="0" w:space="0" w:color="auto"/>
      </w:divBdr>
    </w:div>
    <w:div w:id="99034917">
      <w:bodyDiv w:val="1"/>
      <w:marLeft w:val="0"/>
      <w:marRight w:val="0"/>
      <w:marTop w:val="0"/>
      <w:marBottom w:val="0"/>
      <w:divBdr>
        <w:top w:val="none" w:sz="0" w:space="0" w:color="auto"/>
        <w:left w:val="none" w:sz="0" w:space="0" w:color="auto"/>
        <w:bottom w:val="none" w:sz="0" w:space="0" w:color="auto"/>
        <w:right w:val="none" w:sz="0" w:space="0" w:color="auto"/>
      </w:divBdr>
    </w:div>
    <w:div w:id="299576296">
      <w:bodyDiv w:val="1"/>
      <w:marLeft w:val="0"/>
      <w:marRight w:val="0"/>
      <w:marTop w:val="0"/>
      <w:marBottom w:val="0"/>
      <w:divBdr>
        <w:top w:val="none" w:sz="0" w:space="0" w:color="auto"/>
        <w:left w:val="none" w:sz="0" w:space="0" w:color="auto"/>
        <w:bottom w:val="none" w:sz="0" w:space="0" w:color="auto"/>
        <w:right w:val="none" w:sz="0" w:space="0" w:color="auto"/>
      </w:divBdr>
    </w:div>
    <w:div w:id="363673219">
      <w:bodyDiv w:val="1"/>
      <w:marLeft w:val="0"/>
      <w:marRight w:val="0"/>
      <w:marTop w:val="0"/>
      <w:marBottom w:val="0"/>
      <w:divBdr>
        <w:top w:val="none" w:sz="0" w:space="0" w:color="auto"/>
        <w:left w:val="none" w:sz="0" w:space="0" w:color="auto"/>
        <w:bottom w:val="none" w:sz="0" w:space="0" w:color="auto"/>
        <w:right w:val="none" w:sz="0" w:space="0" w:color="auto"/>
      </w:divBdr>
    </w:div>
    <w:div w:id="374277973">
      <w:bodyDiv w:val="1"/>
      <w:marLeft w:val="0"/>
      <w:marRight w:val="0"/>
      <w:marTop w:val="0"/>
      <w:marBottom w:val="0"/>
      <w:divBdr>
        <w:top w:val="none" w:sz="0" w:space="0" w:color="auto"/>
        <w:left w:val="none" w:sz="0" w:space="0" w:color="auto"/>
        <w:bottom w:val="none" w:sz="0" w:space="0" w:color="auto"/>
        <w:right w:val="none" w:sz="0" w:space="0" w:color="auto"/>
      </w:divBdr>
    </w:div>
    <w:div w:id="503937411">
      <w:bodyDiv w:val="1"/>
      <w:marLeft w:val="0"/>
      <w:marRight w:val="0"/>
      <w:marTop w:val="0"/>
      <w:marBottom w:val="0"/>
      <w:divBdr>
        <w:top w:val="none" w:sz="0" w:space="0" w:color="auto"/>
        <w:left w:val="none" w:sz="0" w:space="0" w:color="auto"/>
        <w:bottom w:val="none" w:sz="0" w:space="0" w:color="auto"/>
        <w:right w:val="none" w:sz="0" w:space="0" w:color="auto"/>
      </w:divBdr>
    </w:div>
    <w:div w:id="544685973">
      <w:bodyDiv w:val="1"/>
      <w:marLeft w:val="0"/>
      <w:marRight w:val="0"/>
      <w:marTop w:val="0"/>
      <w:marBottom w:val="0"/>
      <w:divBdr>
        <w:top w:val="none" w:sz="0" w:space="0" w:color="auto"/>
        <w:left w:val="none" w:sz="0" w:space="0" w:color="auto"/>
        <w:bottom w:val="none" w:sz="0" w:space="0" w:color="auto"/>
        <w:right w:val="none" w:sz="0" w:space="0" w:color="auto"/>
      </w:divBdr>
    </w:div>
    <w:div w:id="571741832">
      <w:bodyDiv w:val="1"/>
      <w:marLeft w:val="0"/>
      <w:marRight w:val="0"/>
      <w:marTop w:val="0"/>
      <w:marBottom w:val="0"/>
      <w:divBdr>
        <w:top w:val="none" w:sz="0" w:space="0" w:color="auto"/>
        <w:left w:val="none" w:sz="0" w:space="0" w:color="auto"/>
        <w:bottom w:val="none" w:sz="0" w:space="0" w:color="auto"/>
        <w:right w:val="none" w:sz="0" w:space="0" w:color="auto"/>
      </w:divBdr>
    </w:div>
    <w:div w:id="811602779">
      <w:bodyDiv w:val="1"/>
      <w:marLeft w:val="0"/>
      <w:marRight w:val="0"/>
      <w:marTop w:val="0"/>
      <w:marBottom w:val="0"/>
      <w:divBdr>
        <w:top w:val="none" w:sz="0" w:space="0" w:color="auto"/>
        <w:left w:val="none" w:sz="0" w:space="0" w:color="auto"/>
        <w:bottom w:val="none" w:sz="0" w:space="0" w:color="auto"/>
        <w:right w:val="none" w:sz="0" w:space="0" w:color="auto"/>
      </w:divBdr>
    </w:div>
    <w:div w:id="922226504">
      <w:bodyDiv w:val="1"/>
      <w:marLeft w:val="0"/>
      <w:marRight w:val="0"/>
      <w:marTop w:val="0"/>
      <w:marBottom w:val="0"/>
      <w:divBdr>
        <w:top w:val="none" w:sz="0" w:space="0" w:color="auto"/>
        <w:left w:val="none" w:sz="0" w:space="0" w:color="auto"/>
        <w:bottom w:val="none" w:sz="0" w:space="0" w:color="auto"/>
        <w:right w:val="none" w:sz="0" w:space="0" w:color="auto"/>
      </w:divBdr>
    </w:div>
    <w:div w:id="928002623">
      <w:bodyDiv w:val="1"/>
      <w:marLeft w:val="0"/>
      <w:marRight w:val="0"/>
      <w:marTop w:val="0"/>
      <w:marBottom w:val="0"/>
      <w:divBdr>
        <w:top w:val="none" w:sz="0" w:space="0" w:color="auto"/>
        <w:left w:val="none" w:sz="0" w:space="0" w:color="auto"/>
        <w:bottom w:val="none" w:sz="0" w:space="0" w:color="auto"/>
        <w:right w:val="none" w:sz="0" w:space="0" w:color="auto"/>
      </w:divBdr>
    </w:div>
    <w:div w:id="944507671">
      <w:bodyDiv w:val="1"/>
      <w:marLeft w:val="0"/>
      <w:marRight w:val="0"/>
      <w:marTop w:val="0"/>
      <w:marBottom w:val="0"/>
      <w:divBdr>
        <w:top w:val="none" w:sz="0" w:space="0" w:color="auto"/>
        <w:left w:val="none" w:sz="0" w:space="0" w:color="auto"/>
        <w:bottom w:val="none" w:sz="0" w:space="0" w:color="auto"/>
        <w:right w:val="none" w:sz="0" w:space="0" w:color="auto"/>
      </w:divBdr>
    </w:div>
    <w:div w:id="946735379">
      <w:bodyDiv w:val="1"/>
      <w:marLeft w:val="0"/>
      <w:marRight w:val="0"/>
      <w:marTop w:val="0"/>
      <w:marBottom w:val="0"/>
      <w:divBdr>
        <w:top w:val="none" w:sz="0" w:space="0" w:color="auto"/>
        <w:left w:val="none" w:sz="0" w:space="0" w:color="auto"/>
        <w:bottom w:val="none" w:sz="0" w:space="0" w:color="auto"/>
        <w:right w:val="none" w:sz="0" w:space="0" w:color="auto"/>
      </w:divBdr>
    </w:div>
    <w:div w:id="1182932296">
      <w:bodyDiv w:val="1"/>
      <w:marLeft w:val="0"/>
      <w:marRight w:val="0"/>
      <w:marTop w:val="0"/>
      <w:marBottom w:val="0"/>
      <w:divBdr>
        <w:top w:val="none" w:sz="0" w:space="0" w:color="auto"/>
        <w:left w:val="none" w:sz="0" w:space="0" w:color="auto"/>
        <w:bottom w:val="none" w:sz="0" w:space="0" w:color="auto"/>
        <w:right w:val="none" w:sz="0" w:space="0" w:color="auto"/>
      </w:divBdr>
    </w:div>
    <w:div w:id="1317757656">
      <w:bodyDiv w:val="1"/>
      <w:marLeft w:val="0"/>
      <w:marRight w:val="0"/>
      <w:marTop w:val="0"/>
      <w:marBottom w:val="0"/>
      <w:divBdr>
        <w:top w:val="none" w:sz="0" w:space="0" w:color="auto"/>
        <w:left w:val="none" w:sz="0" w:space="0" w:color="auto"/>
        <w:bottom w:val="none" w:sz="0" w:space="0" w:color="auto"/>
        <w:right w:val="none" w:sz="0" w:space="0" w:color="auto"/>
      </w:divBdr>
    </w:div>
    <w:div w:id="1476289695">
      <w:bodyDiv w:val="1"/>
      <w:marLeft w:val="0"/>
      <w:marRight w:val="0"/>
      <w:marTop w:val="0"/>
      <w:marBottom w:val="0"/>
      <w:divBdr>
        <w:top w:val="none" w:sz="0" w:space="0" w:color="auto"/>
        <w:left w:val="none" w:sz="0" w:space="0" w:color="auto"/>
        <w:bottom w:val="none" w:sz="0" w:space="0" w:color="auto"/>
        <w:right w:val="none" w:sz="0" w:space="0" w:color="auto"/>
      </w:divBdr>
    </w:div>
    <w:div w:id="1573156191">
      <w:bodyDiv w:val="1"/>
      <w:marLeft w:val="0"/>
      <w:marRight w:val="0"/>
      <w:marTop w:val="0"/>
      <w:marBottom w:val="0"/>
      <w:divBdr>
        <w:top w:val="none" w:sz="0" w:space="0" w:color="auto"/>
        <w:left w:val="none" w:sz="0" w:space="0" w:color="auto"/>
        <w:bottom w:val="none" w:sz="0" w:space="0" w:color="auto"/>
        <w:right w:val="none" w:sz="0" w:space="0" w:color="auto"/>
      </w:divBdr>
    </w:div>
    <w:div w:id="1752000738">
      <w:bodyDiv w:val="1"/>
      <w:marLeft w:val="0"/>
      <w:marRight w:val="0"/>
      <w:marTop w:val="0"/>
      <w:marBottom w:val="0"/>
      <w:divBdr>
        <w:top w:val="none" w:sz="0" w:space="0" w:color="auto"/>
        <w:left w:val="none" w:sz="0" w:space="0" w:color="auto"/>
        <w:bottom w:val="none" w:sz="0" w:space="0" w:color="auto"/>
        <w:right w:val="none" w:sz="0" w:space="0" w:color="auto"/>
      </w:divBdr>
    </w:div>
    <w:div w:id="1786120661">
      <w:bodyDiv w:val="1"/>
      <w:marLeft w:val="0"/>
      <w:marRight w:val="0"/>
      <w:marTop w:val="0"/>
      <w:marBottom w:val="0"/>
      <w:divBdr>
        <w:top w:val="none" w:sz="0" w:space="0" w:color="auto"/>
        <w:left w:val="none" w:sz="0" w:space="0" w:color="auto"/>
        <w:bottom w:val="none" w:sz="0" w:space="0" w:color="auto"/>
        <w:right w:val="none" w:sz="0" w:space="0" w:color="auto"/>
      </w:divBdr>
    </w:div>
    <w:div w:id="2067097579">
      <w:bodyDiv w:val="1"/>
      <w:marLeft w:val="0"/>
      <w:marRight w:val="0"/>
      <w:marTop w:val="0"/>
      <w:marBottom w:val="0"/>
      <w:divBdr>
        <w:top w:val="none" w:sz="0" w:space="0" w:color="auto"/>
        <w:left w:val="none" w:sz="0" w:space="0" w:color="auto"/>
        <w:bottom w:val="none" w:sz="0" w:space="0" w:color="auto"/>
        <w:right w:val="none" w:sz="0" w:space="0" w:color="auto"/>
      </w:divBdr>
    </w:div>
    <w:div w:id="2118064829">
      <w:bodyDiv w:val="1"/>
      <w:marLeft w:val="0"/>
      <w:marRight w:val="0"/>
      <w:marTop w:val="0"/>
      <w:marBottom w:val="0"/>
      <w:divBdr>
        <w:top w:val="none" w:sz="0" w:space="0" w:color="auto"/>
        <w:left w:val="none" w:sz="0" w:space="0" w:color="auto"/>
        <w:bottom w:val="none" w:sz="0" w:space="0" w:color="auto"/>
        <w:right w:val="none" w:sz="0" w:space="0" w:color="auto"/>
      </w:divBdr>
    </w:div>
    <w:div w:id="2127306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huynq@napa.vn" TargetMode="Externa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thediplomat.com/2013/12/vietnamese-rice-farmers-abandon-their-fields/" TargetMode="External"/><Relationship Id="rId2" Type="http://schemas.openxmlformats.org/officeDocument/2006/relationships/hyperlink" Target="http://www.bloomberg.com/news/2013-09-12/vietnam-s-rice-output-faces-slide-on-crop-switch-southeast-asia.html" TargetMode="External"/><Relationship Id="rId3" Type="http://schemas.openxmlformats.org/officeDocument/2006/relationships/hyperlink" Target="http://www.mard.gov.v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uynguyen:Downloads:Rice%20export_quantit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huynguyen:Downloads:Rice%20export_quantity.xls" TargetMode="External"/></Relationships>
</file>

<file path=word/charts/_rels/chart3.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Volumes/Data/Thesis/Dynamics%20and%20undernourishment/Second/Thesis_2nd/Ket%20qua%20second%20paper.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Volumes/Data/Thesis/Dynamics%20and%20undernourishment/Second/Thesis_2nd/Ket%20qua%20second%20pap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huynguyen:Dropbox:Dynamics%20and%20undernourishment:Second:Thesis_2nd:Ket%20qua%20second%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'WRS Sheet'!$E$45</c:f>
              <c:strCache>
                <c:ptCount val="1"/>
                <c:pt idx="0">
                  <c:v>Growth</c:v>
                </c:pt>
              </c:strCache>
            </c:strRef>
          </c:tx>
          <c:spPr>
            <a:ln w="19050" cmpd="sng">
              <a:solidFill>
                <a:schemeClr val="tx2"/>
              </a:solidFill>
            </a:ln>
          </c:spPr>
          <c:marker>
            <c:symbol val="none"/>
          </c:marker>
          <c:cat>
            <c:numRef>
              <c:f>'WRS Sheet'!$F$44:$AH$44</c:f>
              <c:numCache>
                <c:formatCode>General</c:formatCode>
                <c:ptCount val="29"/>
                <c:pt idx="0">
                  <c:v>1986.0</c:v>
                </c:pt>
                <c:pt idx="1">
                  <c:v>1987.0</c:v>
                </c:pt>
                <c:pt idx="2">
                  <c:v>1988.0</c:v>
                </c:pt>
                <c:pt idx="3">
                  <c:v>1989.0</c:v>
                </c:pt>
                <c:pt idx="4">
                  <c:v>1990.0</c:v>
                </c:pt>
                <c:pt idx="5">
                  <c:v>1991.0</c:v>
                </c:pt>
                <c:pt idx="6">
                  <c:v>1992.0</c:v>
                </c:pt>
                <c:pt idx="7">
                  <c:v>1993.0</c:v>
                </c:pt>
                <c:pt idx="8">
                  <c:v>1994.0</c:v>
                </c:pt>
                <c:pt idx="9">
                  <c:v>1995.0</c:v>
                </c:pt>
                <c:pt idx="10">
                  <c:v>1996.0</c:v>
                </c:pt>
                <c:pt idx="11">
                  <c:v>1997.0</c:v>
                </c:pt>
                <c:pt idx="12">
                  <c:v>1998.0</c:v>
                </c:pt>
                <c:pt idx="13">
                  <c:v>1999.0</c:v>
                </c:pt>
                <c:pt idx="14">
                  <c:v>2000.0</c:v>
                </c:pt>
                <c:pt idx="15">
                  <c:v>2001.0</c:v>
                </c:pt>
                <c:pt idx="16">
                  <c:v>2002.0</c:v>
                </c:pt>
                <c:pt idx="17">
                  <c:v>2003.0</c:v>
                </c:pt>
                <c:pt idx="18">
                  <c:v>2004.0</c:v>
                </c:pt>
                <c:pt idx="19">
                  <c:v>2005.0</c:v>
                </c:pt>
                <c:pt idx="20">
                  <c:v>2006.0</c:v>
                </c:pt>
                <c:pt idx="21">
                  <c:v>2007.0</c:v>
                </c:pt>
                <c:pt idx="22">
                  <c:v>2008.0</c:v>
                </c:pt>
                <c:pt idx="23">
                  <c:v>2009.0</c:v>
                </c:pt>
                <c:pt idx="24">
                  <c:v>2010.0</c:v>
                </c:pt>
                <c:pt idx="25">
                  <c:v>2011.0</c:v>
                </c:pt>
                <c:pt idx="26">
                  <c:v>2012.0</c:v>
                </c:pt>
                <c:pt idx="27">
                  <c:v>2013.0</c:v>
                </c:pt>
                <c:pt idx="28">
                  <c:v>2014.0</c:v>
                </c:pt>
              </c:numCache>
            </c:numRef>
          </c:cat>
          <c:val>
            <c:numRef>
              <c:f>'WRS Sheet'!$F$45:$AH$45</c:f>
              <c:numCache>
                <c:formatCode>General</c:formatCode>
                <c:ptCount val="29"/>
                <c:pt idx="0">
                  <c:v>-6.58</c:v>
                </c:pt>
                <c:pt idx="1">
                  <c:v>16.91999999999999</c:v>
                </c:pt>
                <c:pt idx="2">
                  <c:v>4.71</c:v>
                </c:pt>
                <c:pt idx="3">
                  <c:v>6.04</c:v>
                </c:pt>
                <c:pt idx="4">
                  <c:v>-2.96</c:v>
                </c:pt>
                <c:pt idx="5">
                  <c:v>18.12</c:v>
                </c:pt>
                <c:pt idx="6">
                  <c:v>0.018</c:v>
                </c:pt>
                <c:pt idx="7">
                  <c:v>9.620000000000001</c:v>
                </c:pt>
                <c:pt idx="8">
                  <c:v>1.23</c:v>
                </c:pt>
                <c:pt idx="9">
                  <c:v>8.84</c:v>
                </c:pt>
                <c:pt idx="10">
                  <c:v>1.81</c:v>
                </c:pt>
                <c:pt idx="11">
                  <c:v>6.06</c:v>
                </c:pt>
                <c:pt idx="12">
                  <c:v>5.31</c:v>
                </c:pt>
                <c:pt idx="13">
                  <c:v>4.07</c:v>
                </c:pt>
                <c:pt idx="14">
                  <c:v>-2.16</c:v>
                </c:pt>
                <c:pt idx="15">
                  <c:v>2.75</c:v>
                </c:pt>
                <c:pt idx="16">
                  <c:v>2.329999999999999</c:v>
                </c:pt>
                <c:pt idx="17">
                  <c:v>2.58</c:v>
                </c:pt>
                <c:pt idx="18">
                  <c:v>2.87</c:v>
                </c:pt>
                <c:pt idx="19">
                  <c:v>0.25</c:v>
                </c:pt>
                <c:pt idx="20">
                  <c:v>0.660000000000001</c:v>
                </c:pt>
                <c:pt idx="21">
                  <c:v>6.34</c:v>
                </c:pt>
                <c:pt idx="22">
                  <c:v>5.34</c:v>
                </c:pt>
                <c:pt idx="23">
                  <c:v>2.79</c:v>
                </c:pt>
                <c:pt idx="24">
                  <c:v>5.51</c:v>
                </c:pt>
                <c:pt idx="25">
                  <c:v>2.96</c:v>
                </c:pt>
                <c:pt idx="26">
                  <c:v>1.42</c:v>
                </c:pt>
                <c:pt idx="27">
                  <c:v>2.27</c:v>
                </c:pt>
                <c:pt idx="28">
                  <c:v>-0.4</c:v>
                </c:pt>
              </c:numCache>
            </c:numRef>
          </c:val>
          <c:smooth val="0"/>
        </c:ser>
        <c:dLbls>
          <c:showLegendKey val="0"/>
          <c:showVal val="0"/>
          <c:showCatName val="0"/>
          <c:showSerName val="0"/>
          <c:showPercent val="0"/>
          <c:showBubbleSize val="0"/>
        </c:dLbls>
        <c:smooth val="0"/>
        <c:axId val="-1529716624"/>
        <c:axId val="-1577808928"/>
      </c:lineChart>
      <c:catAx>
        <c:axId val="-1529716624"/>
        <c:scaling>
          <c:orientation val="minMax"/>
        </c:scaling>
        <c:delete val="0"/>
        <c:axPos val="b"/>
        <c:numFmt formatCode="General" sourceLinked="1"/>
        <c:majorTickMark val="out"/>
        <c:minorTickMark val="none"/>
        <c:tickLblPos val="nextTo"/>
        <c:txPr>
          <a:bodyPr/>
          <a:lstStyle/>
          <a:p>
            <a:pPr>
              <a:defRPr sz="900">
                <a:latin typeface="Times New Roman"/>
              </a:defRPr>
            </a:pPr>
            <a:endParaRPr lang="en-US"/>
          </a:p>
        </c:txPr>
        <c:crossAx val="-1577808928"/>
        <c:crosses val="autoZero"/>
        <c:auto val="1"/>
        <c:lblAlgn val="ctr"/>
        <c:lblOffset val="100"/>
        <c:noMultiLvlLbl val="0"/>
      </c:catAx>
      <c:valAx>
        <c:axId val="-1577808928"/>
        <c:scaling>
          <c:orientation val="minMax"/>
        </c:scaling>
        <c:delete val="0"/>
        <c:axPos val="l"/>
        <c:majorGridlines/>
        <c:numFmt formatCode="General" sourceLinked="1"/>
        <c:majorTickMark val="out"/>
        <c:minorTickMark val="none"/>
        <c:tickLblPos val="nextTo"/>
        <c:txPr>
          <a:bodyPr/>
          <a:lstStyle/>
          <a:p>
            <a:pPr>
              <a:defRPr sz="900">
                <a:latin typeface="Times New Roman"/>
              </a:defRPr>
            </a:pPr>
            <a:endParaRPr lang="en-US"/>
          </a:p>
        </c:txPr>
        <c:crossAx val="-1529716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'WRS Sheet'!$N$75</c:f>
              <c:strCache>
                <c:ptCount val="1"/>
                <c:pt idx="0">
                  <c:v>Margins</c:v>
                </c:pt>
              </c:strCache>
            </c:strRef>
          </c:tx>
          <c:invertIfNegative val="0"/>
          <c:dLbls>
            <c:spPr>
              <a:noFill/>
              <a:ln>
                <a:noFill/>
              </a:ln>
              <a:effectLst/>
            </c:spPr>
            <c:txPr>
              <a:bodyPr/>
              <a:lstStyle/>
              <a:p>
                <a:pPr>
                  <a:defRPr sz="900">
                    <a:latin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'WRS Sheet'!$O$74:$Q$74</c:f>
              <c:numCache>
                <c:formatCode>General</c:formatCode>
                <c:ptCount val="3"/>
                <c:pt idx="0">
                  <c:v>2006.0</c:v>
                </c:pt>
                <c:pt idx="1">
                  <c:v>2008.0</c:v>
                </c:pt>
                <c:pt idx="2">
                  <c:v>2010.0</c:v>
                </c:pt>
              </c:numCache>
            </c:numRef>
          </c:cat>
          <c:val>
            <c:numRef>
              <c:f>'WRS Sheet'!$O$75:$Q$75</c:f>
              <c:numCache>
                <c:formatCode>General</c:formatCode>
                <c:ptCount val="3"/>
                <c:pt idx="0">
                  <c:v>70.0</c:v>
                </c:pt>
                <c:pt idx="1">
                  <c:v>23.0</c:v>
                </c:pt>
                <c:pt idx="2">
                  <c:v>10.0</c:v>
                </c:pt>
              </c:numCache>
            </c:numRef>
          </c:val>
        </c:ser>
        <c:dLbls>
          <c:showLegendKey val="0"/>
          <c:showVal val="0"/>
          <c:showCatName val="0"/>
          <c:showSerName val="0"/>
          <c:showPercent val="0"/>
          <c:showBubbleSize val="0"/>
        </c:dLbls>
        <c:gapWidth val="150"/>
        <c:axId val="-1529797488"/>
        <c:axId val="-1578039568"/>
      </c:barChart>
      <c:catAx>
        <c:axId val="-1529797488"/>
        <c:scaling>
          <c:orientation val="minMax"/>
        </c:scaling>
        <c:delete val="0"/>
        <c:axPos val="b"/>
        <c:numFmt formatCode="General" sourceLinked="1"/>
        <c:majorTickMark val="out"/>
        <c:minorTickMark val="none"/>
        <c:tickLblPos val="nextTo"/>
        <c:txPr>
          <a:bodyPr/>
          <a:lstStyle/>
          <a:p>
            <a:pPr>
              <a:defRPr sz="900">
                <a:latin typeface="Times New Roman"/>
              </a:defRPr>
            </a:pPr>
            <a:endParaRPr lang="en-US"/>
          </a:p>
        </c:txPr>
        <c:crossAx val="-1578039568"/>
        <c:crosses val="autoZero"/>
        <c:auto val="1"/>
        <c:lblAlgn val="ctr"/>
        <c:lblOffset val="100"/>
        <c:noMultiLvlLbl val="0"/>
      </c:catAx>
      <c:valAx>
        <c:axId val="-1578039568"/>
        <c:scaling>
          <c:orientation val="minMax"/>
        </c:scaling>
        <c:delete val="0"/>
        <c:axPos val="l"/>
        <c:majorGridlines/>
        <c:numFmt formatCode="General" sourceLinked="1"/>
        <c:majorTickMark val="out"/>
        <c:minorTickMark val="none"/>
        <c:tickLblPos val="nextTo"/>
        <c:txPr>
          <a:bodyPr/>
          <a:lstStyle/>
          <a:p>
            <a:pPr>
              <a:defRPr sz="900">
                <a:latin typeface="Times New Roman"/>
              </a:defRPr>
            </a:pPr>
            <a:endParaRPr lang="en-US"/>
          </a:p>
        </c:txPr>
        <c:crossAx val="-15297974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4154858340549"/>
          <c:y val="0.0424143556280587"/>
          <c:w val="0.750978142120724"/>
          <c:h val="0.876192540152665"/>
        </c:manualLayout>
      </c:layout>
      <c:barChart>
        <c:barDir val="col"/>
        <c:grouping val="stacked"/>
        <c:varyColors val="0"/>
        <c:ser>
          <c:idx val="0"/>
          <c:order val="0"/>
          <c:tx>
            <c:strRef>
              <c:f>Sheet3!$A$34</c:f>
              <c:strCache>
                <c:ptCount val="1"/>
                <c:pt idx="0">
                  <c:v>Giống</c:v>
                </c:pt>
              </c:strCache>
            </c:strRef>
          </c:tx>
          <c:spPr>
            <a:solidFill>
              <a:schemeClr val="accent1"/>
            </a:solidFill>
            <a:ln>
              <a:noFill/>
            </a:ln>
            <a:effectLst/>
          </c:spPr>
          <c:invertIfNegative val="0"/>
          <c:cat>
            <c:numRef>
              <c:f>Sheet3!$B$33:$D$33</c:f>
              <c:numCache>
                <c:formatCode>General</c:formatCode>
                <c:ptCount val="3"/>
                <c:pt idx="0">
                  <c:v>2006.0</c:v>
                </c:pt>
                <c:pt idx="1">
                  <c:v>2008.0</c:v>
                </c:pt>
                <c:pt idx="2">
                  <c:v>2010.0</c:v>
                </c:pt>
              </c:numCache>
            </c:numRef>
          </c:cat>
          <c:val>
            <c:numRef>
              <c:f>Sheet3!$B$34:$D$34</c:f>
              <c:numCache>
                <c:formatCode>General</c:formatCode>
                <c:ptCount val="3"/>
                <c:pt idx="0">
                  <c:v>435.0</c:v>
                </c:pt>
                <c:pt idx="1">
                  <c:v>483.6</c:v>
                </c:pt>
                <c:pt idx="2">
                  <c:v>936.0</c:v>
                </c:pt>
              </c:numCache>
            </c:numRef>
          </c:val>
        </c:ser>
        <c:ser>
          <c:idx val="1"/>
          <c:order val="1"/>
          <c:tx>
            <c:strRef>
              <c:f>Sheet3!$A$35</c:f>
              <c:strCache>
                <c:ptCount val="1"/>
                <c:pt idx="0">
                  <c:v>Phân bón</c:v>
                </c:pt>
              </c:strCache>
            </c:strRef>
          </c:tx>
          <c:spPr>
            <a:solidFill>
              <a:schemeClr val="accent2"/>
            </a:solidFill>
            <a:ln>
              <a:noFill/>
            </a:ln>
            <a:effectLst/>
          </c:spPr>
          <c:invertIfNegative val="0"/>
          <c:cat>
            <c:numRef>
              <c:f>Sheet3!$B$33:$D$33</c:f>
              <c:numCache>
                <c:formatCode>General</c:formatCode>
                <c:ptCount val="3"/>
                <c:pt idx="0">
                  <c:v>2006.0</c:v>
                </c:pt>
                <c:pt idx="1">
                  <c:v>2008.0</c:v>
                </c:pt>
                <c:pt idx="2">
                  <c:v>2010.0</c:v>
                </c:pt>
              </c:numCache>
            </c:numRef>
          </c:cat>
          <c:val>
            <c:numRef>
              <c:f>Sheet3!$B$35:$D$35</c:f>
              <c:numCache>
                <c:formatCode>General</c:formatCode>
                <c:ptCount val="3"/>
                <c:pt idx="0">
                  <c:v>2043.8</c:v>
                </c:pt>
                <c:pt idx="1">
                  <c:v>3269.0</c:v>
                </c:pt>
                <c:pt idx="2">
                  <c:v>6691.4</c:v>
                </c:pt>
              </c:numCache>
            </c:numRef>
          </c:val>
        </c:ser>
        <c:ser>
          <c:idx val="2"/>
          <c:order val="2"/>
          <c:tx>
            <c:strRef>
              <c:f>Sheet3!$A$36</c:f>
              <c:strCache>
                <c:ptCount val="1"/>
                <c:pt idx="0">
                  <c:v>Thuốc trừ sâu</c:v>
                </c:pt>
              </c:strCache>
            </c:strRef>
          </c:tx>
          <c:spPr>
            <a:solidFill>
              <a:schemeClr val="accent3"/>
            </a:solidFill>
            <a:ln>
              <a:noFill/>
            </a:ln>
            <a:effectLst/>
          </c:spPr>
          <c:invertIfNegative val="0"/>
          <c:cat>
            <c:numRef>
              <c:f>Sheet3!$B$33:$D$33</c:f>
              <c:numCache>
                <c:formatCode>General</c:formatCode>
                <c:ptCount val="3"/>
                <c:pt idx="0">
                  <c:v>2006.0</c:v>
                </c:pt>
                <c:pt idx="1">
                  <c:v>2008.0</c:v>
                </c:pt>
                <c:pt idx="2">
                  <c:v>2010.0</c:v>
                </c:pt>
              </c:numCache>
            </c:numRef>
          </c:cat>
          <c:val>
            <c:numRef>
              <c:f>Sheet3!$B$36:$D$36</c:f>
              <c:numCache>
                <c:formatCode>General</c:formatCode>
                <c:ptCount val="3"/>
                <c:pt idx="0">
                  <c:v>1460.0</c:v>
                </c:pt>
                <c:pt idx="1">
                  <c:v>1710.0</c:v>
                </c:pt>
                <c:pt idx="2">
                  <c:v>1758.5</c:v>
                </c:pt>
              </c:numCache>
            </c:numRef>
          </c:val>
        </c:ser>
        <c:ser>
          <c:idx val="3"/>
          <c:order val="3"/>
          <c:tx>
            <c:strRef>
              <c:f>Sheet3!$A$37</c:f>
              <c:strCache>
                <c:ptCount val="1"/>
                <c:pt idx="0">
                  <c:v>Thuỷ lợi</c:v>
                </c:pt>
              </c:strCache>
            </c:strRef>
          </c:tx>
          <c:spPr>
            <a:solidFill>
              <a:schemeClr val="accent4"/>
            </a:solidFill>
            <a:ln>
              <a:noFill/>
            </a:ln>
            <a:effectLst/>
          </c:spPr>
          <c:invertIfNegative val="0"/>
          <c:cat>
            <c:numRef>
              <c:f>Sheet3!$B$33:$D$33</c:f>
              <c:numCache>
                <c:formatCode>General</c:formatCode>
                <c:ptCount val="3"/>
                <c:pt idx="0">
                  <c:v>2006.0</c:v>
                </c:pt>
                <c:pt idx="1">
                  <c:v>2008.0</c:v>
                </c:pt>
                <c:pt idx="2">
                  <c:v>2010.0</c:v>
                </c:pt>
              </c:numCache>
            </c:numRef>
          </c:cat>
          <c:val>
            <c:numRef>
              <c:f>Sheet3!$B$37:$D$37</c:f>
              <c:numCache>
                <c:formatCode>General</c:formatCode>
                <c:ptCount val="3"/>
                <c:pt idx="0">
                  <c:v>495.0</c:v>
                </c:pt>
                <c:pt idx="1">
                  <c:v>528.0</c:v>
                </c:pt>
                <c:pt idx="2">
                  <c:v>576.0</c:v>
                </c:pt>
              </c:numCache>
            </c:numRef>
          </c:val>
        </c:ser>
        <c:ser>
          <c:idx val="4"/>
          <c:order val="4"/>
          <c:tx>
            <c:strRef>
              <c:f>Sheet3!$A$38</c:f>
              <c:strCache>
                <c:ptCount val="1"/>
                <c:pt idx="0">
                  <c:v>Chi phí khác</c:v>
                </c:pt>
              </c:strCache>
            </c:strRef>
          </c:tx>
          <c:spPr>
            <a:solidFill>
              <a:schemeClr val="accent5"/>
            </a:solidFill>
            <a:ln>
              <a:noFill/>
            </a:ln>
            <a:effectLst/>
          </c:spPr>
          <c:invertIfNegative val="0"/>
          <c:cat>
            <c:numRef>
              <c:f>Sheet3!$B$33:$D$33</c:f>
              <c:numCache>
                <c:formatCode>General</c:formatCode>
                <c:ptCount val="3"/>
                <c:pt idx="0">
                  <c:v>2006.0</c:v>
                </c:pt>
                <c:pt idx="1">
                  <c:v>2008.0</c:v>
                </c:pt>
                <c:pt idx="2">
                  <c:v>2010.0</c:v>
                </c:pt>
              </c:numCache>
            </c:numRef>
          </c:cat>
          <c:val>
            <c:numRef>
              <c:f>Sheet3!$B$38:$D$38</c:f>
              <c:numCache>
                <c:formatCode>General</c:formatCode>
                <c:ptCount val="3"/>
                <c:pt idx="0">
                  <c:v>600.0</c:v>
                </c:pt>
                <c:pt idx="1">
                  <c:v>690.0</c:v>
                </c:pt>
                <c:pt idx="2">
                  <c:v>606.8</c:v>
                </c:pt>
              </c:numCache>
            </c:numRef>
          </c:val>
        </c:ser>
        <c:ser>
          <c:idx val="5"/>
          <c:order val="5"/>
          <c:tx>
            <c:strRef>
              <c:f>Sheet3!$A$39</c:f>
              <c:strCache>
                <c:ptCount val="1"/>
                <c:pt idx="0">
                  <c:v>Thuê lao động</c:v>
                </c:pt>
              </c:strCache>
            </c:strRef>
          </c:tx>
          <c:spPr>
            <a:solidFill>
              <a:schemeClr val="accent6"/>
            </a:solidFill>
            <a:ln>
              <a:noFill/>
            </a:ln>
            <a:effectLst/>
          </c:spPr>
          <c:invertIfNegative val="0"/>
          <c:cat>
            <c:numRef>
              <c:f>Sheet3!$B$33:$D$33</c:f>
              <c:numCache>
                <c:formatCode>General</c:formatCode>
                <c:ptCount val="3"/>
                <c:pt idx="0">
                  <c:v>2006.0</c:v>
                </c:pt>
                <c:pt idx="1">
                  <c:v>2008.0</c:v>
                </c:pt>
                <c:pt idx="2">
                  <c:v>2010.0</c:v>
                </c:pt>
              </c:numCache>
            </c:numRef>
          </c:cat>
          <c:val>
            <c:numRef>
              <c:f>Sheet3!$B$39:$D$39</c:f>
              <c:numCache>
                <c:formatCode>General</c:formatCode>
                <c:ptCount val="3"/>
                <c:pt idx="0">
                  <c:v>2799.0</c:v>
                </c:pt>
                <c:pt idx="1">
                  <c:v>3116.0</c:v>
                </c:pt>
                <c:pt idx="2">
                  <c:v>4764.7</c:v>
                </c:pt>
              </c:numCache>
            </c:numRef>
          </c:val>
        </c:ser>
        <c:dLbls>
          <c:showLegendKey val="0"/>
          <c:showVal val="0"/>
          <c:showCatName val="0"/>
          <c:showSerName val="0"/>
          <c:showPercent val="0"/>
          <c:showBubbleSize val="0"/>
        </c:dLbls>
        <c:gapWidth val="150"/>
        <c:overlap val="100"/>
        <c:axId val="-1582607504"/>
        <c:axId val="-1530797808"/>
      </c:barChart>
      <c:catAx>
        <c:axId val="-158260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530797808"/>
        <c:crosses val="autoZero"/>
        <c:auto val="1"/>
        <c:lblAlgn val="ctr"/>
        <c:lblOffset val="100"/>
        <c:noMultiLvlLbl val="0"/>
      </c:catAx>
      <c:valAx>
        <c:axId val="-1530797808"/>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582607504"/>
        <c:crosses val="autoZero"/>
        <c:crossBetween val="between"/>
      </c:valAx>
      <c:spPr>
        <a:noFill/>
        <a:ln>
          <a:noFill/>
        </a:ln>
        <a:effectLst/>
      </c:spPr>
    </c:plotArea>
    <c:legend>
      <c:legendPos val="b"/>
      <c:layout>
        <c:manualLayout>
          <c:xMode val="edge"/>
          <c:yMode val="edge"/>
          <c:x val="0.798074791010836"/>
          <c:y val="0.165170903392378"/>
          <c:w val="0.201383657978005"/>
          <c:h val="0.5411912499518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Sheet3!$A$120:$A$127</c:f>
              <c:strCache>
                <c:ptCount val="8"/>
                <c:pt idx="0">
                  <c:v>Đồng bằng sông Hồng</c:v>
                </c:pt>
                <c:pt idx="1">
                  <c:v>Đông Bắc</c:v>
                </c:pt>
                <c:pt idx="2">
                  <c:v>Tây Bắc</c:v>
                </c:pt>
                <c:pt idx="3">
                  <c:v>Duyên hải Bắc Trung Bộ</c:v>
                </c:pt>
                <c:pt idx="4">
                  <c:v>Duyên hải Nam Trung Bộ</c:v>
                </c:pt>
                <c:pt idx="5">
                  <c:v>Tây Nguyên</c:v>
                </c:pt>
                <c:pt idx="6">
                  <c:v>Đông Nam Bộ</c:v>
                </c:pt>
                <c:pt idx="7">
                  <c:v>Đồng bằng sông Cửu Long</c:v>
                </c:pt>
              </c:strCache>
            </c:strRef>
          </c:cat>
          <c:val>
            <c:numRef>
              <c:f>Sheet3!$B$120:$B$127</c:f>
              <c:numCache>
                <c:formatCode>General</c:formatCode>
                <c:ptCount val="8"/>
                <c:pt idx="0">
                  <c:v>0.69</c:v>
                </c:pt>
                <c:pt idx="1">
                  <c:v>0.57</c:v>
                </c:pt>
                <c:pt idx="2">
                  <c:v>0.57</c:v>
                </c:pt>
                <c:pt idx="3">
                  <c:v>0.64</c:v>
                </c:pt>
                <c:pt idx="4">
                  <c:v>0.65</c:v>
                </c:pt>
                <c:pt idx="5">
                  <c:v>0.66</c:v>
                </c:pt>
                <c:pt idx="6">
                  <c:v>0.65</c:v>
                </c:pt>
                <c:pt idx="7">
                  <c:v>0.86</c:v>
                </c:pt>
              </c:numCache>
            </c:numRef>
          </c:val>
        </c:ser>
        <c:dLbls>
          <c:showLegendKey val="0"/>
          <c:showVal val="0"/>
          <c:showCatName val="0"/>
          <c:showSerName val="0"/>
          <c:showPercent val="0"/>
          <c:showBubbleSize val="0"/>
        </c:dLbls>
        <c:gapWidth val="219"/>
        <c:overlap val="-27"/>
        <c:axId val="-1980972288"/>
        <c:axId val="-1529804960"/>
      </c:barChart>
      <c:catAx>
        <c:axId val="-198097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529804960"/>
        <c:crosses val="autoZero"/>
        <c:auto val="1"/>
        <c:lblAlgn val="ctr"/>
        <c:lblOffset val="100"/>
        <c:noMultiLvlLbl val="0"/>
      </c:catAx>
      <c:valAx>
        <c:axId val="-152980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98097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87142206182562"/>
          <c:y val="0.0"/>
          <c:w val="0.423076923076925"/>
          <c:h val="0.967592592592596"/>
        </c:manualLayout>
      </c:layout>
      <c:pieChart>
        <c:varyColors val="1"/>
        <c:ser>
          <c:idx val="0"/>
          <c:order val="0"/>
          <c:dLbls>
            <c:dLbl>
              <c:idx val="0"/>
              <c:layout>
                <c:manualLayout>
                  <c:x val="0.0267165832509802"/>
                  <c:y val="0.03374671916010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0812665370270012"/>
                  <c:y val="-0.076706401283172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895478019700984"/>
                  <c:y val="-0.028871391076115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34967009332167"/>
                  <c:y val="-0.024280534912851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104053364786891"/>
                  <c:y val="-0.0179749927092448"/>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110556600465428"/>
                  <c:y val="0.017394284047827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220303484331667"/>
                  <c:y val="0.024253062117235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Sheet4!$D$143:$D$149</c:f>
              <c:strCache>
                <c:ptCount val="7"/>
                <c:pt idx="0">
                  <c:v>(a) and (b)</c:v>
                </c:pt>
                <c:pt idx="1">
                  <c:v>(a) and (c)</c:v>
                </c:pt>
                <c:pt idx="2">
                  <c:v>(a) and (d)</c:v>
                </c:pt>
                <c:pt idx="3">
                  <c:v>(a), (b), and (c)</c:v>
                </c:pt>
                <c:pt idx="4">
                  <c:v>(a), (b), and (d)</c:v>
                </c:pt>
                <c:pt idx="5">
                  <c:v>(a), (c) and (d)</c:v>
                </c:pt>
                <c:pt idx="6">
                  <c:v>(a), (b), (c), and (d)</c:v>
                </c:pt>
              </c:strCache>
            </c:strRef>
          </c:cat>
          <c:val>
            <c:numRef>
              <c:f>Sheet4!$E$143:$E$149</c:f>
              <c:numCache>
                <c:formatCode>0.0</c:formatCode>
                <c:ptCount val="7"/>
                <c:pt idx="0">
                  <c:v>19.94923857868006</c:v>
                </c:pt>
                <c:pt idx="1">
                  <c:v>12.2842639593908</c:v>
                </c:pt>
                <c:pt idx="2">
                  <c:v>3.197969543147208</c:v>
                </c:pt>
                <c:pt idx="3">
                  <c:v>29.64467005076142</c:v>
                </c:pt>
                <c:pt idx="4">
                  <c:v>3.502538071065991</c:v>
                </c:pt>
                <c:pt idx="5">
                  <c:v>5.83756345177665</c:v>
                </c:pt>
                <c:pt idx="6">
                  <c:v>25.58375634517752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6255285797606"/>
          <c:y val="0.0"/>
          <c:w val="0.253501749781277"/>
          <c:h val="1.0"/>
        </c:manualLayout>
      </c:layou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4552</Words>
  <Characters>16524</Characters>
  <Application>Microsoft Macintosh Word</Application>
  <DocSecurity>0</DocSecurity>
  <Lines>367</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2018-01-30T14:26:00Z</dcterms:created>
  <dcterms:modified xsi:type="dcterms:W3CDTF">2018-01-31T05:41:00Z</dcterms:modified>
</cp:coreProperties>
</file>