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30" w:rsidRPr="00935022" w:rsidRDefault="002C6512" w:rsidP="00856280">
      <w:pPr>
        <w:jc w:val="center"/>
        <w:rPr>
          <w:b/>
          <w:bCs/>
          <w:color w:val="262626" w:themeColor="text1" w:themeTint="D9"/>
          <w:sz w:val="28"/>
          <w:szCs w:val="28"/>
          <w:lang w:val="en-US"/>
        </w:rPr>
      </w:pPr>
      <w:r w:rsidRPr="00935022">
        <w:rPr>
          <w:b/>
          <w:bCs/>
          <w:color w:val="262626" w:themeColor="text1" w:themeTint="D9"/>
          <w:sz w:val="28"/>
          <w:szCs w:val="28"/>
          <w:lang w:val="en-US"/>
        </w:rPr>
        <w:t>Natural radioactivity and external dos</w:t>
      </w:r>
      <w:r w:rsidR="00230123" w:rsidRPr="00935022">
        <w:rPr>
          <w:b/>
          <w:bCs/>
          <w:color w:val="262626" w:themeColor="text1" w:themeTint="D9"/>
          <w:sz w:val="28"/>
          <w:szCs w:val="28"/>
          <w:lang w:val="en-US"/>
        </w:rPr>
        <w:t>e</w:t>
      </w:r>
      <w:r w:rsidRPr="00935022">
        <w:rPr>
          <w:b/>
          <w:bCs/>
          <w:color w:val="262626" w:themeColor="text1" w:themeTint="D9"/>
          <w:sz w:val="28"/>
          <w:szCs w:val="28"/>
          <w:lang w:val="en-US"/>
        </w:rPr>
        <w:t xml:space="preserve"> assessment of surface soils in</w:t>
      </w:r>
      <w:r w:rsidR="00E11BF5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r w:rsidR="009D3570" w:rsidRPr="00935022">
        <w:rPr>
          <w:b/>
          <w:bCs/>
          <w:color w:val="262626" w:themeColor="text1" w:themeTint="D9"/>
          <w:sz w:val="28"/>
          <w:szCs w:val="28"/>
          <w:lang w:val="en-US"/>
        </w:rPr>
        <w:t>Bol</w:t>
      </w:r>
      <w:r w:rsidR="00A65A72" w:rsidRPr="00935022">
        <w:rPr>
          <w:b/>
          <w:bCs/>
          <w:color w:val="262626" w:themeColor="text1" w:themeTint="D9"/>
          <w:sz w:val="28"/>
          <w:szCs w:val="28"/>
          <w:lang w:val="en-US"/>
        </w:rPr>
        <w:t>i</w:t>
      </w:r>
      <w:r w:rsidR="009D3570" w:rsidRPr="00935022">
        <w:rPr>
          <w:b/>
          <w:bCs/>
          <w:color w:val="262626" w:themeColor="text1" w:themeTint="D9"/>
          <w:sz w:val="28"/>
          <w:szCs w:val="28"/>
          <w:lang w:val="en-US"/>
        </w:rPr>
        <w:t>khamxay</w:t>
      </w:r>
      <w:r w:rsidR="009D3570" w:rsidRPr="00A4499F">
        <w:rPr>
          <w:b/>
          <w:bCs/>
          <w:color w:val="FF0000"/>
          <w:sz w:val="28"/>
          <w:szCs w:val="28"/>
          <w:lang w:val="en-US"/>
        </w:rPr>
        <w:t xml:space="preserve"> </w:t>
      </w:r>
      <w:r w:rsidR="00A4499F" w:rsidRPr="00A4499F">
        <w:rPr>
          <w:b/>
          <w:bCs/>
          <w:color w:val="FF0000"/>
          <w:sz w:val="28"/>
          <w:szCs w:val="28"/>
          <w:lang w:val="en-US"/>
        </w:rPr>
        <w:t>p</w:t>
      </w:r>
      <w:r w:rsidR="009D3570" w:rsidRPr="00935022">
        <w:rPr>
          <w:b/>
          <w:bCs/>
          <w:color w:val="262626" w:themeColor="text1" w:themeTint="D9"/>
          <w:sz w:val="28"/>
          <w:szCs w:val="28"/>
          <w:lang w:val="en-US"/>
        </w:rPr>
        <w:t>rovince,</w:t>
      </w:r>
      <w:r w:rsidR="00E11BF5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r w:rsidR="009D3570" w:rsidRPr="00935022">
        <w:rPr>
          <w:b/>
          <w:bCs/>
          <w:color w:val="262626" w:themeColor="text1" w:themeTint="D9"/>
          <w:sz w:val="28"/>
          <w:szCs w:val="28"/>
          <w:lang w:val="en-US"/>
        </w:rPr>
        <w:t>Laos</w:t>
      </w:r>
    </w:p>
    <w:p w:rsidR="00CE1A64" w:rsidRPr="0064473D" w:rsidRDefault="00234881" w:rsidP="0064473D">
      <w:pPr>
        <w:spacing w:after="0"/>
        <w:jc w:val="center"/>
        <w:rPr>
          <w:szCs w:val="24"/>
          <w:lang w:val="en-US"/>
        </w:rPr>
      </w:pPr>
      <w:r w:rsidRPr="0064473D">
        <w:rPr>
          <w:szCs w:val="24"/>
          <w:lang w:val="en-US"/>
        </w:rPr>
        <w:t>Somsavath Leuangtakoun</w:t>
      </w:r>
      <w:r w:rsidRPr="0064473D">
        <w:rPr>
          <w:szCs w:val="24"/>
          <w:vertAlign w:val="superscript"/>
          <w:lang w:val="en-US"/>
        </w:rPr>
        <w:t>1,</w:t>
      </w:r>
      <w:r w:rsidR="007B6D19" w:rsidRPr="0064473D">
        <w:rPr>
          <w:szCs w:val="24"/>
          <w:vertAlign w:val="superscript"/>
          <w:lang w:val="en-US"/>
        </w:rPr>
        <w:t>2</w:t>
      </w:r>
      <w:r w:rsidR="009D4E04" w:rsidRPr="009D4E04">
        <w:rPr>
          <w:rStyle w:val="FootnoteReference"/>
          <w:szCs w:val="24"/>
          <w:lang w:val="en-US"/>
        </w:rPr>
        <w:footnoteReference w:customMarkFollows="1" w:id="2"/>
        <w:sym w:font="Symbol" w:char="F02A"/>
      </w:r>
      <w:r w:rsidR="002111C2" w:rsidRPr="0064473D">
        <w:rPr>
          <w:szCs w:val="24"/>
          <w:lang w:val="en-US"/>
        </w:rPr>
        <w:t xml:space="preserve">, </w:t>
      </w:r>
      <w:r w:rsidRPr="0064473D">
        <w:rPr>
          <w:szCs w:val="24"/>
          <w:lang w:val="en-US"/>
        </w:rPr>
        <w:t>Bui Van Loat</w:t>
      </w:r>
      <w:r w:rsidR="007B6D19" w:rsidRPr="0064473D">
        <w:rPr>
          <w:szCs w:val="24"/>
          <w:vertAlign w:val="superscript"/>
          <w:lang w:val="en-US"/>
        </w:rPr>
        <w:t>1</w:t>
      </w:r>
      <w:r w:rsidR="002111C2" w:rsidRPr="0064473D">
        <w:rPr>
          <w:szCs w:val="24"/>
          <w:lang w:val="en-US"/>
        </w:rPr>
        <w:t xml:space="preserve">, </w:t>
      </w:r>
      <w:r w:rsidR="007B6D19" w:rsidRPr="0064473D">
        <w:rPr>
          <w:szCs w:val="24"/>
          <w:lang w:val="en-US"/>
        </w:rPr>
        <w:t>Vu Thi Kim Duyen</w:t>
      </w:r>
      <w:r w:rsidR="007B6D19" w:rsidRPr="0064473D">
        <w:rPr>
          <w:szCs w:val="24"/>
          <w:vertAlign w:val="superscript"/>
          <w:lang w:val="en-US"/>
        </w:rPr>
        <w:t>3</w:t>
      </w:r>
      <w:r w:rsidR="007B6D19" w:rsidRPr="0064473D">
        <w:rPr>
          <w:szCs w:val="24"/>
          <w:lang w:val="en-US"/>
        </w:rPr>
        <w:t xml:space="preserve">, </w:t>
      </w:r>
      <w:r w:rsidRPr="0064473D">
        <w:rPr>
          <w:szCs w:val="24"/>
          <w:lang w:val="en-US"/>
        </w:rPr>
        <w:t>Khong Nam Khang</w:t>
      </w:r>
      <w:r w:rsidR="007B6D19" w:rsidRPr="0064473D">
        <w:rPr>
          <w:szCs w:val="24"/>
          <w:vertAlign w:val="superscript"/>
          <w:lang w:val="en-US"/>
        </w:rPr>
        <w:t>4</w:t>
      </w:r>
      <w:r w:rsidR="002111C2" w:rsidRPr="0064473D">
        <w:rPr>
          <w:szCs w:val="24"/>
          <w:lang w:val="en-US"/>
        </w:rPr>
        <w:t>.</w:t>
      </w:r>
    </w:p>
    <w:p w:rsidR="00F45750" w:rsidRDefault="002111C2" w:rsidP="0064473D">
      <w:pPr>
        <w:spacing w:after="0"/>
        <w:jc w:val="center"/>
        <w:rPr>
          <w:i/>
          <w:sz w:val="22"/>
          <w:lang w:val="en-US"/>
        </w:rPr>
      </w:pPr>
      <w:r w:rsidRPr="00F45750">
        <w:rPr>
          <w:i/>
          <w:sz w:val="22"/>
          <w:vertAlign w:val="superscript"/>
          <w:lang w:val="en-US"/>
        </w:rPr>
        <w:t>1</w:t>
      </w:r>
      <w:r w:rsidR="002171C7" w:rsidRPr="00F45750">
        <w:rPr>
          <w:i/>
          <w:sz w:val="22"/>
          <w:lang w:val="en-US"/>
        </w:rPr>
        <w:t>Department of Nuclear Physics, Faculty of Physics,VNU Un</w:t>
      </w:r>
      <w:r w:rsidR="006049C2" w:rsidRPr="00F45750">
        <w:rPr>
          <w:i/>
          <w:sz w:val="22"/>
          <w:lang w:val="en-US"/>
        </w:rPr>
        <w:t>iversity of Science,</w:t>
      </w:r>
    </w:p>
    <w:p w:rsidR="002171C7" w:rsidRPr="00F45750" w:rsidRDefault="006049C2" w:rsidP="0064473D">
      <w:pPr>
        <w:spacing w:after="0"/>
        <w:jc w:val="center"/>
        <w:rPr>
          <w:i/>
          <w:sz w:val="22"/>
          <w:lang w:val="en-US"/>
        </w:rPr>
      </w:pPr>
      <w:r w:rsidRPr="00F45750">
        <w:rPr>
          <w:i/>
          <w:sz w:val="22"/>
          <w:lang w:val="en-US"/>
        </w:rPr>
        <w:t>334 Nguyen T</w:t>
      </w:r>
      <w:r w:rsidR="002171C7" w:rsidRPr="00F45750">
        <w:rPr>
          <w:i/>
          <w:sz w:val="22"/>
          <w:lang w:val="en-US"/>
        </w:rPr>
        <w:t>rai,Hanoi,Vietnam</w:t>
      </w:r>
    </w:p>
    <w:p w:rsidR="002111C2" w:rsidRPr="00F45750" w:rsidRDefault="002111C2" w:rsidP="0064473D">
      <w:pPr>
        <w:spacing w:after="0"/>
        <w:jc w:val="center"/>
        <w:rPr>
          <w:i/>
          <w:sz w:val="22"/>
          <w:lang w:val="en-US"/>
        </w:rPr>
      </w:pPr>
      <w:r w:rsidRPr="00F45750">
        <w:rPr>
          <w:i/>
          <w:sz w:val="22"/>
          <w:vertAlign w:val="superscript"/>
          <w:lang w:val="en-US"/>
        </w:rPr>
        <w:t>2</w:t>
      </w:r>
      <w:r w:rsidRPr="00F45750">
        <w:rPr>
          <w:i/>
          <w:sz w:val="22"/>
          <w:lang w:val="en-US"/>
        </w:rPr>
        <w:t>National University of Laos,P.O.Box: 7322 ,Dongdok Vientiane,Laos</w:t>
      </w:r>
    </w:p>
    <w:p w:rsidR="002111C2" w:rsidRPr="00F45750" w:rsidRDefault="002111C2" w:rsidP="0064473D">
      <w:pPr>
        <w:spacing w:after="0"/>
        <w:jc w:val="center"/>
        <w:rPr>
          <w:b/>
          <w:bCs/>
          <w:i/>
          <w:sz w:val="22"/>
          <w:lang w:val="en-US"/>
        </w:rPr>
      </w:pPr>
      <w:r w:rsidRPr="00F45750">
        <w:rPr>
          <w:i/>
          <w:sz w:val="22"/>
          <w:vertAlign w:val="superscript"/>
          <w:lang w:val="en-US"/>
        </w:rPr>
        <w:t>3</w:t>
      </w:r>
      <w:r w:rsidRPr="00F45750">
        <w:rPr>
          <w:i/>
          <w:sz w:val="22"/>
          <w:lang w:val="en-US"/>
        </w:rPr>
        <w:t>Centre for Env.Trea. Tech.</w:t>
      </w:r>
      <w:r w:rsidR="00856280" w:rsidRPr="00F45750">
        <w:rPr>
          <w:i/>
          <w:sz w:val="22"/>
          <w:lang w:val="en-US"/>
        </w:rPr>
        <w:t>,</w:t>
      </w:r>
      <w:r w:rsidRPr="00F45750">
        <w:rPr>
          <w:i/>
          <w:sz w:val="22"/>
          <w:lang w:val="en-US"/>
        </w:rPr>
        <w:t xml:space="preserve"> Min</w:t>
      </w:r>
      <w:r w:rsidR="00856280" w:rsidRPr="00F45750">
        <w:rPr>
          <w:i/>
          <w:sz w:val="22"/>
          <w:lang w:val="en-US"/>
        </w:rPr>
        <w:t>i</w:t>
      </w:r>
      <w:r w:rsidRPr="00F45750">
        <w:rPr>
          <w:i/>
          <w:sz w:val="22"/>
          <w:lang w:val="en-US"/>
        </w:rPr>
        <w:t>s</w:t>
      </w:r>
      <w:r w:rsidR="00856280" w:rsidRPr="00F45750">
        <w:rPr>
          <w:i/>
          <w:sz w:val="22"/>
          <w:lang w:val="en-US"/>
        </w:rPr>
        <w:t>t</w:t>
      </w:r>
      <w:r w:rsidRPr="00F45750">
        <w:rPr>
          <w:i/>
          <w:sz w:val="22"/>
          <w:lang w:val="en-US"/>
        </w:rPr>
        <w:t xml:space="preserve">ry of </w:t>
      </w:r>
      <w:r w:rsidR="00856280" w:rsidRPr="00F45750">
        <w:rPr>
          <w:i/>
          <w:sz w:val="22"/>
          <w:lang w:val="en-US"/>
        </w:rPr>
        <w:t>De</w:t>
      </w:r>
      <w:r w:rsidRPr="00F45750">
        <w:rPr>
          <w:i/>
          <w:sz w:val="22"/>
          <w:lang w:val="en-US"/>
        </w:rPr>
        <w:t>fence, 282 Lac Long Quan, Hanoi, Vietnam</w:t>
      </w:r>
    </w:p>
    <w:p w:rsidR="002171C7" w:rsidRPr="00F45750" w:rsidRDefault="002111C2" w:rsidP="0064473D">
      <w:pPr>
        <w:spacing w:after="0"/>
        <w:jc w:val="center"/>
        <w:rPr>
          <w:i/>
          <w:sz w:val="22"/>
          <w:lang w:val="en-US"/>
        </w:rPr>
      </w:pPr>
      <w:r w:rsidRPr="00F45750">
        <w:rPr>
          <w:i/>
          <w:sz w:val="22"/>
          <w:vertAlign w:val="superscript"/>
          <w:lang w:val="en-US"/>
        </w:rPr>
        <w:t>4</w:t>
      </w:r>
      <w:r w:rsidR="002171C7" w:rsidRPr="00F45750">
        <w:rPr>
          <w:i/>
          <w:sz w:val="22"/>
          <w:lang w:val="en-US"/>
        </w:rPr>
        <w:t xml:space="preserve">Military </w:t>
      </w:r>
      <w:r w:rsidR="00856280" w:rsidRPr="00F45750">
        <w:rPr>
          <w:i/>
          <w:sz w:val="22"/>
          <w:lang w:val="en-US"/>
        </w:rPr>
        <w:t>I</w:t>
      </w:r>
      <w:r w:rsidR="002171C7" w:rsidRPr="00F45750">
        <w:rPr>
          <w:i/>
          <w:sz w:val="22"/>
          <w:lang w:val="en-US"/>
        </w:rPr>
        <w:t xml:space="preserve">nstitute of </w:t>
      </w:r>
      <w:r w:rsidR="00856280" w:rsidRPr="00F45750">
        <w:rPr>
          <w:i/>
          <w:sz w:val="22"/>
          <w:lang w:val="en-US"/>
        </w:rPr>
        <w:t>Medical R</w:t>
      </w:r>
      <w:r w:rsidR="002171C7" w:rsidRPr="00F45750">
        <w:rPr>
          <w:i/>
          <w:sz w:val="22"/>
          <w:lang w:val="en-US"/>
        </w:rPr>
        <w:t xml:space="preserve">adiology and </w:t>
      </w:r>
      <w:r w:rsidR="00856280" w:rsidRPr="00F45750">
        <w:rPr>
          <w:i/>
          <w:sz w:val="22"/>
          <w:lang w:val="en-US"/>
        </w:rPr>
        <w:t>O</w:t>
      </w:r>
      <w:r w:rsidR="002171C7" w:rsidRPr="00F45750">
        <w:rPr>
          <w:i/>
          <w:sz w:val="22"/>
          <w:lang w:val="en-US"/>
        </w:rPr>
        <w:t>ncology</w:t>
      </w:r>
      <w:r w:rsidR="00B530A2" w:rsidRPr="00F45750">
        <w:rPr>
          <w:i/>
          <w:sz w:val="22"/>
          <w:lang w:val="en-US"/>
        </w:rPr>
        <w:t>.</w:t>
      </w:r>
    </w:p>
    <w:p w:rsidR="002111C2" w:rsidRPr="00935022" w:rsidRDefault="002111C2" w:rsidP="002111C2">
      <w:pPr>
        <w:spacing w:after="0" w:line="240" w:lineRule="auto"/>
        <w:jc w:val="thaiDistribute"/>
        <w:rPr>
          <w:color w:val="404040" w:themeColor="text1" w:themeTint="BF"/>
          <w:szCs w:val="24"/>
          <w:lang w:val="en-US"/>
        </w:rPr>
      </w:pPr>
    </w:p>
    <w:p w:rsidR="00234881" w:rsidRPr="00935022" w:rsidRDefault="00FD5730" w:rsidP="00773EAF">
      <w:pPr>
        <w:ind w:left="284"/>
        <w:jc w:val="thaiDistribute"/>
        <w:rPr>
          <w:rFonts w:eastAsiaTheme="minorEastAsia"/>
          <w:color w:val="404040" w:themeColor="text1" w:themeTint="BF"/>
          <w:sz w:val="22"/>
          <w:lang w:val="en-US" w:bidi="lo-LA"/>
        </w:rPr>
      </w:pPr>
      <w:r w:rsidRPr="00935022">
        <w:rPr>
          <w:b/>
          <w:bCs/>
          <w:color w:val="404040" w:themeColor="text1" w:themeTint="BF"/>
          <w:sz w:val="22"/>
          <w:lang w:val="en-US"/>
        </w:rPr>
        <w:t>Abstract</w:t>
      </w:r>
      <w:r w:rsidR="002111C2" w:rsidRPr="00935022">
        <w:rPr>
          <w:b/>
          <w:bCs/>
          <w:color w:val="404040" w:themeColor="text1" w:themeTint="BF"/>
          <w:sz w:val="22"/>
          <w:lang w:val="en-US"/>
        </w:rPr>
        <w:t xml:space="preserve">: </w:t>
      </w:r>
      <w:r w:rsidR="00856280" w:rsidRPr="00935022">
        <w:rPr>
          <w:bCs/>
          <w:color w:val="404040" w:themeColor="text1" w:themeTint="BF"/>
          <w:sz w:val="22"/>
          <w:lang w:val="en-US"/>
        </w:rPr>
        <w:t>We have determined</w:t>
      </w:r>
      <w:r w:rsidRPr="00935022">
        <w:rPr>
          <w:color w:val="404040" w:themeColor="text1" w:themeTint="BF"/>
          <w:sz w:val="22"/>
          <w:lang w:val="en-US"/>
        </w:rPr>
        <w:t xml:space="preserve"> activity co</w:t>
      </w:r>
      <w:r w:rsidR="00193B10" w:rsidRPr="00935022">
        <w:rPr>
          <w:color w:val="404040" w:themeColor="text1" w:themeTint="BF"/>
          <w:sz w:val="22"/>
          <w:lang w:val="en-US"/>
        </w:rPr>
        <w:t>ncentration</w:t>
      </w:r>
      <w:r w:rsidR="0004162F" w:rsidRPr="00935022">
        <w:rPr>
          <w:color w:val="404040" w:themeColor="text1" w:themeTint="BF"/>
          <w:sz w:val="22"/>
          <w:lang w:val="en-US"/>
        </w:rPr>
        <w:t>s</w:t>
      </w:r>
      <w:r w:rsidR="00193B10" w:rsidRPr="00935022">
        <w:rPr>
          <w:color w:val="404040" w:themeColor="text1" w:themeTint="BF"/>
          <w:sz w:val="22"/>
          <w:lang w:val="en-US"/>
        </w:rPr>
        <w:t xml:space="preserve"> in 3</w:t>
      </w:r>
      <w:r w:rsidR="00BA42A2" w:rsidRPr="00935022">
        <w:rPr>
          <w:color w:val="404040" w:themeColor="text1" w:themeTint="BF"/>
          <w:sz w:val="22"/>
          <w:lang w:val="en-US" w:bidi="lo-LA"/>
        </w:rPr>
        <w:t>3</w:t>
      </w:r>
      <w:r w:rsidRPr="00935022">
        <w:rPr>
          <w:color w:val="404040" w:themeColor="text1" w:themeTint="BF"/>
          <w:sz w:val="22"/>
          <w:lang w:val="en-US"/>
        </w:rPr>
        <w:t xml:space="preserve"> soil samples collected from Bolikhamxay Province</w:t>
      </w:r>
      <w:r w:rsidR="000B2B6C" w:rsidRPr="00935022">
        <w:rPr>
          <w:color w:val="404040" w:themeColor="text1" w:themeTint="BF"/>
          <w:sz w:val="22"/>
          <w:lang w:val="en-US"/>
        </w:rPr>
        <w:t>, Laos</w:t>
      </w:r>
      <w:r w:rsidRPr="00935022">
        <w:rPr>
          <w:color w:val="404040" w:themeColor="text1" w:themeTint="BF"/>
          <w:sz w:val="22"/>
          <w:lang w:val="en-US"/>
        </w:rPr>
        <w:t>.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Pr="00935022">
        <w:rPr>
          <w:color w:val="404040" w:themeColor="text1" w:themeTint="BF"/>
          <w:sz w:val="22"/>
          <w:lang w:val="en-US"/>
        </w:rPr>
        <w:t>The activity concentration</w:t>
      </w:r>
      <w:r w:rsidR="000B2B6C" w:rsidRPr="00935022">
        <w:rPr>
          <w:color w:val="404040" w:themeColor="text1" w:themeTint="BF"/>
          <w:sz w:val="22"/>
          <w:lang w:val="en-US"/>
        </w:rPr>
        <w:t>s</w:t>
      </w:r>
      <w:r w:rsidRPr="00935022">
        <w:rPr>
          <w:color w:val="404040" w:themeColor="text1" w:themeTint="BF"/>
          <w:sz w:val="22"/>
          <w:lang w:val="en-US"/>
        </w:rPr>
        <w:t xml:space="preserve"> of</w:t>
      </w:r>
      <w:r w:rsidR="00856280" w:rsidRPr="00935022">
        <w:rPr>
          <w:color w:val="404040" w:themeColor="text1" w:themeTint="BF"/>
          <w:sz w:val="22"/>
          <w:lang w:val="en-US"/>
        </w:rPr>
        <w:t xml:space="preserve"> the</w:t>
      </w:r>
      <w:r w:rsidRPr="00935022">
        <w:rPr>
          <w:color w:val="404040" w:themeColor="text1" w:themeTint="BF"/>
          <w:sz w:val="22"/>
          <w:lang w:val="en-US"/>
        </w:rPr>
        <w:t xml:space="preserve"> natural radionuclides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7F40C1" w:rsidRPr="00935022">
        <w:rPr>
          <w:color w:val="404040" w:themeColor="text1" w:themeTint="BF"/>
          <w:sz w:val="22"/>
          <w:vertAlign w:val="superscript"/>
          <w:lang w:val="en-US"/>
        </w:rPr>
        <w:t>226</w:t>
      </w:r>
      <w:r w:rsidR="007F40C1" w:rsidRPr="00935022">
        <w:rPr>
          <w:color w:val="404040" w:themeColor="text1" w:themeTint="BF"/>
          <w:sz w:val="22"/>
          <w:lang w:val="en-US"/>
        </w:rPr>
        <w:t>Ra</w:t>
      </w:r>
      <w:r w:rsidRPr="00935022">
        <w:rPr>
          <w:color w:val="404040" w:themeColor="text1" w:themeTint="BF"/>
          <w:sz w:val="22"/>
          <w:lang w:val="en-US"/>
        </w:rPr>
        <w:t>,</w:t>
      </w:r>
      <w:r w:rsidRPr="00935022">
        <w:rPr>
          <w:color w:val="404040" w:themeColor="text1" w:themeTint="BF"/>
          <w:sz w:val="22"/>
          <w:vertAlign w:val="superscript"/>
          <w:lang w:val="en-US"/>
        </w:rPr>
        <w:t>232</w:t>
      </w:r>
      <w:r w:rsidRPr="00935022">
        <w:rPr>
          <w:color w:val="404040" w:themeColor="text1" w:themeTint="BF"/>
          <w:sz w:val="22"/>
          <w:lang w:val="en-US"/>
        </w:rPr>
        <w:t xml:space="preserve">Th and </w:t>
      </w:r>
      <w:r w:rsidRPr="00935022">
        <w:rPr>
          <w:color w:val="404040" w:themeColor="text1" w:themeTint="BF"/>
          <w:sz w:val="22"/>
          <w:vertAlign w:val="superscript"/>
          <w:lang w:val="en-US"/>
        </w:rPr>
        <w:t>40</w:t>
      </w:r>
      <w:r w:rsidRPr="00935022">
        <w:rPr>
          <w:color w:val="404040" w:themeColor="text1" w:themeTint="BF"/>
          <w:sz w:val="22"/>
          <w:lang w:val="en-US"/>
        </w:rPr>
        <w:t xml:space="preserve">K </w:t>
      </w:r>
      <w:r w:rsidR="0014461A" w:rsidRPr="00935022">
        <w:rPr>
          <w:color w:val="404040" w:themeColor="text1" w:themeTint="BF"/>
          <w:sz w:val="22"/>
          <w:lang w:val="en-US"/>
        </w:rPr>
        <w:t>in soil samples were measured</w:t>
      </w:r>
      <w:r w:rsidR="00E11BF5">
        <w:rPr>
          <w:color w:val="404040" w:themeColor="text1" w:themeTint="BF"/>
          <w:sz w:val="22"/>
          <w:lang w:val="en-US"/>
        </w:rPr>
        <w:t xml:space="preserve"> </w:t>
      </w:r>
      <w:r w:rsidR="00E11BF5" w:rsidRPr="00660F12">
        <w:rPr>
          <w:color w:val="404040" w:themeColor="text1" w:themeTint="BF"/>
          <w:sz w:val="22"/>
          <w:lang w:val="en-US"/>
        </w:rPr>
        <w:t>by a</w:t>
      </w:r>
      <w:r w:rsidR="0014461A" w:rsidRPr="00935022">
        <w:rPr>
          <w:color w:val="404040" w:themeColor="text1" w:themeTint="BF"/>
          <w:sz w:val="22"/>
          <w:lang w:val="en-US"/>
        </w:rPr>
        <w:t xml:space="preserve"> </w:t>
      </w:r>
      <w:r w:rsidR="000B2B6C" w:rsidRPr="00935022">
        <w:rPr>
          <w:color w:val="404040" w:themeColor="text1" w:themeTint="BF"/>
          <w:sz w:val="22"/>
          <w:lang w:val="en-US"/>
        </w:rPr>
        <w:t>gamma</w:t>
      </w:r>
      <w:r w:rsidR="000B2B6C" w:rsidRPr="00935022">
        <w:rPr>
          <w:rFonts w:cs="Times New Roman"/>
          <w:color w:val="404040" w:themeColor="text1" w:themeTint="BF"/>
          <w:sz w:val="22"/>
          <w:shd w:val="clear" w:color="auto" w:fill="FFFFFF"/>
        </w:rPr>
        <w:t xml:space="preserve"> spectromet</w:t>
      </w:r>
      <w:r w:rsidR="000B2B6C" w:rsidRPr="00935022">
        <w:rPr>
          <w:rFonts w:cs="Times New Roman"/>
          <w:color w:val="404040" w:themeColor="text1" w:themeTint="BF"/>
          <w:sz w:val="22"/>
          <w:shd w:val="clear" w:color="auto" w:fill="FFFFFF"/>
          <w:lang w:val="en-US"/>
        </w:rPr>
        <w:t>er</w:t>
      </w:r>
      <w:r w:rsidR="000B2B6C" w:rsidRPr="00935022">
        <w:rPr>
          <w:rStyle w:val="apple-converted-space"/>
          <w:rFonts w:cs="Times New Roman"/>
          <w:color w:val="404040" w:themeColor="text1" w:themeTint="BF"/>
          <w:sz w:val="22"/>
          <w:shd w:val="clear" w:color="auto" w:fill="FFFFFF"/>
        </w:rPr>
        <w:t> </w:t>
      </w:r>
      <w:r w:rsidR="000B2B6C" w:rsidRPr="00935022">
        <w:rPr>
          <w:rStyle w:val="apple-converted-space"/>
          <w:rFonts w:cs="Times New Roman"/>
          <w:color w:val="404040" w:themeColor="text1" w:themeTint="BF"/>
          <w:sz w:val="22"/>
          <w:shd w:val="clear" w:color="auto" w:fill="FFFFFF"/>
          <w:lang w:val="en-US"/>
        </w:rPr>
        <w:t>with a</w:t>
      </w:r>
      <w:r w:rsidR="00E11BF5">
        <w:rPr>
          <w:rStyle w:val="apple-converted-space"/>
          <w:rFonts w:cs="Times New Roman"/>
          <w:color w:val="404040" w:themeColor="text1" w:themeTint="BF"/>
          <w:sz w:val="22"/>
          <w:shd w:val="clear" w:color="auto" w:fill="FFFFFF"/>
          <w:lang w:val="en-US"/>
        </w:rPr>
        <w:t xml:space="preserve"> </w:t>
      </w:r>
      <w:r w:rsidR="000B2B6C" w:rsidRPr="00935022">
        <w:rPr>
          <w:color w:val="404040" w:themeColor="text1" w:themeTint="BF"/>
          <w:sz w:val="22"/>
          <w:lang w:val="en-US"/>
        </w:rPr>
        <w:t>H</w:t>
      </w:r>
      <w:r w:rsidR="0014461A" w:rsidRPr="00935022">
        <w:rPr>
          <w:color w:val="404040" w:themeColor="text1" w:themeTint="BF"/>
          <w:sz w:val="22"/>
          <w:lang w:val="en-US"/>
        </w:rPr>
        <w:t>PGe detector.</w:t>
      </w:r>
      <w:r w:rsidR="00E11BF5">
        <w:rPr>
          <w:color w:val="404040" w:themeColor="text1" w:themeTint="BF"/>
          <w:sz w:val="22"/>
          <w:lang w:val="en-US"/>
        </w:rPr>
        <w:t xml:space="preserve"> </w:t>
      </w:r>
      <w:r w:rsidR="0014461A" w:rsidRPr="00935022">
        <w:rPr>
          <w:color w:val="404040" w:themeColor="text1" w:themeTint="BF"/>
          <w:sz w:val="22"/>
          <w:lang w:val="en-US"/>
        </w:rPr>
        <w:t>The average activity concentrations</w:t>
      </w:r>
      <w:r w:rsidR="00E11BF5">
        <w:rPr>
          <w:color w:val="404040" w:themeColor="text1" w:themeTint="BF"/>
          <w:sz w:val="22"/>
          <w:lang w:val="en-US"/>
        </w:rPr>
        <w:t xml:space="preserve"> </w:t>
      </w:r>
      <w:r w:rsidR="00193B10" w:rsidRPr="00935022">
        <w:rPr>
          <w:color w:val="404040" w:themeColor="text1" w:themeTint="BF"/>
          <w:sz w:val="22"/>
          <w:lang w:val="en-US"/>
        </w:rPr>
        <w:t>of</w:t>
      </w:r>
      <w:r w:rsidR="000B2B6C" w:rsidRPr="00E11BF5">
        <w:rPr>
          <w:color w:val="FF0000"/>
          <w:sz w:val="22"/>
          <w:lang w:val="en-US"/>
        </w:rPr>
        <w:t xml:space="preserve"> </w:t>
      </w:r>
      <w:r w:rsidR="000B2B6C" w:rsidRPr="00660F12">
        <w:rPr>
          <w:color w:val="404040" w:themeColor="text1" w:themeTint="BF"/>
          <w:sz w:val="22"/>
          <w:lang w:val="en-US"/>
        </w:rPr>
        <w:t>the</w:t>
      </w:r>
      <w:r w:rsidR="00193B10" w:rsidRPr="00935022">
        <w:rPr>
          <w:color w:val="404040" w:themeColor="text1" w:themeTint="BF"/>
          <w:sz w:val="22"/>
          <w:lang w:val="en-US"/>
        </w:rPr>
        <w:t xml:space="preserve"> natural radionuclides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7F40C1" w:rsidRPr="00935022">
        <w:rPr>
          <w:color w:val="404040" w:themeColor="text1" w:themeTint="BF"/>
          <w:sz w:val="22"/>
          <w:vertAlign w:val="superscript"/>
          <w:lang w:val="en-US"/>
        </w:rPr>
        <w:t>226</w:t>
      </w:r>
      <w:r w:rsidR="007F40C1" w:rsidRPr="00935022">
        <w:rPr>
          <w:color w:val="404040" w:themeColor="text1" w:themeTint="BF"/>
          <w:sz w:val="22"/>
          <w:lang w:val="en-US"/>
        </w:rPr>
        <w:t>Ra</w:t>
      </w:r>
      <w:r w:rsidR="00193B10" w:rsidRPr="00935022">
        <w:rPr>
          <w:color w:val="404040" w:themeColor="text1" w:themeTint="BF"/>
          <w:sz w:val="22"/>
          <w:lang w:val="en-US"/>
        </w:rPr>
        <w:t>,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193B10" w:rsidRPr="00935022">
        <w:rPr>
          <w:color w:val="404040" w:themeColor="text1" w:themeTint="BF"/>
          <w:sz w:val="22"/>
          <w:vertAlign w:val="superscript"/>
          <w:lang w:val="en-US"/>
        </w:rPr>
        <w:t>232</w:t>
      </w:r>
      <w:r w:rsidR="00193B10" w:rsidRPr="00935022">
        <w:rPr>
          <w:color w:val="404040" w:themeColor="text1" w:themeTint="BF"/>
          <w:sz w:val="22"/>
          <w:lang w:val="en-US"/>
        </w:rPr>
        <w:t xml:space="preserve">Th and </w:t>
      </w:r>
      <w:r w:rsidR="00193B10" w:rsidRPr="00935022">
        <w:rPr>
          <w:color w:val="404040" w:themeColor="text1" w:themeTint="BF"/>
          <w:sz w:val="22"/>
          <w:vertAlign w:val="superscript"/>
          <w:lang w:val="en-US"/>
        </w:rPr>
        <w:t>40</w:t>
      </w:r>
      <w:r w:rsidR="00193B10" w:rsidRPr="00935022">
        <w:rPr>
          <w:color w:val="404040" w:themeColor="text1" w:themeTint="BF"/>
          <w:sz w:val="22"/>
          <w:lang w:val="en-US"/>
        </w:rPr>
        <w:t>K</w:t>
      </w:r>
      <w:r w:rsidR="000B2B6C" w:rsidRPr="00935022">
        <w:rPr>
          <w:color w:val="404040" w:themeColor="text1" w:themeTint="BF"/>
          <w:sz w:val="22"/>
          <w:lang w:val="en-US"/>
        </w:rPr>
        <w:t xml:space="preserve"> are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661AB4">
        <w:rPr>
          <w:color w:val="404040" w:themeColor="text1" w:themeTint="BF"/>
          <w:sz w:val="22"/>
          <w:lang w:val="en-US"/>
        </w:rPr>
        <w:t>43.8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36003A" w:rsidRPr="00935022">
        <w:rPr>
          <w:rFonts w:cs="Times New Roman"/>
          <w:color w:val="404040" w:themeColor="text1" w:themeTint="BF"/>
          <w:sz w:val="22"/>
        </w:rPr>
        <w:t>±</w:t>
      </w:r>
      <w:r w:rsidR="001E600B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7B145E">
        <w:rPr>
          <w:rFonts w:cs="Times New Roman"/>
          <w:color w:val="404040" w:themeColor="text1" w:themeTint="BF"/>
          <w:sz w:val="22"/>
          <w:lang w:val="en-US"/>
        </w:rPr>
        <w:t>5</w:t>
      </w:r>
      <w:r w:rsidR="0036003A" w:rsidRPr="00935022">
        <w:rPr>
          <w:color w:val="404040" w:themeColor="text1" w:themeTint="BF"/>
          <w:sz w:val="22"/>
        </w:rPr>
        <w:t>.</w:t>
      </w:r>
      <w:r w:rsidR="00661AB4">
        <w:rPr>
          <w:color w:val="404040" w:themeColor="text1" w:themeTint="BF"/>
          <w:sz w:val="22"/>
          <w:lang w:val="en-US"/>
        </w:rPr>
        <w:t>6</w:t>
      </w:r>
      <w:r w:rsidR="008B395F" w:rsidRPr="00935022">
        <w:rPr>
          <w:color w:val="404040" w:themeColor="text1" w:themeTint="BF"/>
          <w:sz w:val="22"/>
          <w:lang w:val="en-US"/>
        </w:rPr>
        <w:t xml:space="preserve">, </w:t>
      </w:r>
      <w:r w:rsidR="007F40C1" w:rsidRPr="00935022">
        <w:rPr>
          <w:color w:val="404040" w:themeColor="text1" w:themeTint="BF"/>
          <w:sz w:val="22"/>
          <w:lang w:val="en-US"/>
        </w:rPr>
        <w:t>5</w:t>
      </w:r>
      <w:r w:rsidR="007B145E">
        <w:rPr>
          <w:color w:val="404040" w:themeColor="text1" w:themeTint="BF"/>
          <w:sz w:val="22"/>
          <w:lang w:val="en-US"/>
        </w:rPr>
        <w:t>7</w:t>
      </w:r>
      <w:r w:rsidR="0036003A" w:rsidRPr="00935022">
        <w:rPr>
          <w:color w:val="404040" w:themeColor="text1" w:themeTint="BF"/>
          <w:sz w:val="22"/>
        </w:rPr>
        <w:t>.</w:t>
      </w:r>
      <w:r w:rsidR="00661AB4">
        <w:rPr>
          <w:color w:val="404040" w:themeColor="text1" w:themeTint="BF"/>
          <w:sz w:val="22"/>
          <w:lang w:val="en-US"/>
        </w:rPr>
        <w:t>0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36003A" w:rsidRPr="00935022">
        <w:rPr>
          <w:rFonts w:cs="Times New Roman"/>
          <w:color w:val="404040" w:themeColor="text1" w:themeTint="BF"/>
          <w:sz w:val="22"/>
        </w:rPr>
        <w:t>±</w:t>
      </w:r>
      <w:r w:rsidR="001E600B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7B145E">
        <w:rPr>
          <w:rFonts w:cs="Times New Roman"/>
          <w:color w:val="404040" w:themeColor="text1" w:themeTint="BF"/>
          <w:sz w:val="22"/>
          <w:lang w:val="en-US"/>
        </w:rPr>
        <w:t>7</w:t>
      </w:r>
      <w:r w:rsidR="0036003A" w:rsidRPr="00935022">
        <w:rPr>
          <w:color w:val="404040" w:themeColor="text1" w:themeTint="BF"/>
          <w:sz w:val="22"/>
        </w:rPr>
        <w:t>.</w:t>
      </w:r>
      <w:r w:rsidR="00661AB4">
        <w:rPr>
          <w:color w:val="404040" w:themeColor="text1" w:themeTint="BF"/>
          <w:sz w:val="22"/>
          <w:lang w:val="en-US"/>
        </w:rPr>
        <w:t>3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8B395F" w:rsidRPr="00935022">
        <w:rPr>
          <w:color w:val="404040" w:themeColor="text1" w:themeTint="BF"/>
          <w:sz w:val="22"/>
          <w:lang w:val="en-US"/>
        </w:rPr>
        <w:t xml:space="preserve">and </w:t>
      </w:r>
      <w:r w:rsidR="0036003A" w:rsidRPr="00935022">
        <w:rPr>
          <w:color w:val="404040" w:themeColor="text1" w:themeTint="BF"/>
          <w:sz w:val="22"/>
        </w:rPr>
        <w:t>42</w:t>
      </w:r>
      <w:r w:rsidR="007B145E">
        <w:rPr>
          <w:color w:val="404040" w:themeColor="text1" w:themeTint="BF"/>
          <w:sz w:val="22"/>
          <w:lang w:val="en-US"/>
        </w:rPr>
        <w:t>6</w:t>
      </w:r>
      <w:r w:rsidR="0036003A" w:rsidRPr="00935022">
        <w:rPr>
          <w:color w:val="404040" w:themeColor="text1" w:themeTint="BF"/>
          <w:sz w:val="22"/>
        </w:rPr>
        <w:t>.</w:t>
      </w:r>
      <w:r w:rsidR="007B145E">
        <w:rPr>
          <w:color w:val="404040" w:themeColor="text1" w:themeTint="BF"/>
          <w:sz w:val="22"/>
          <w:lang w:val="en-US"/>
        </w:rPr>
        <w:t>4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36003A" w:rsidRPr="00935022">
        <w:rPr>
          <w:rFonts w:cs="Times New Roman"/>
          <w:color w:val="404040" w:themeColor="text1" w:themeTint="BF"/>
          <w:sz w:val="22"/>
        </w:rPr>
        <w:t>±</w:t>
      </w:r>
      <w:r w:rsidR="001E600B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36003A" w:rsidRPr="00935022">
        <w:rPr>
          <w:rFonts w:cs="Times New Roman"/>
          <w:color w:val="404040" w:themeColor="text1" w:themeTint="BF"/>
          <w:sz w:val="22"/>
          <w:lang w:val="en-US"/>
        </w:rPr>
        <w:t>2</w:t>
      </w:r>
      <w:r w:rsidR="007B145E">
        <w:rPr>
          <w:rFonts w:cs="Times New Roman"/>
          <w:color w:val="404040" w:themeColor="text1" w:themeTint="BF"/>
          <w:sz w:val="22"/>
          <w:lang w:val="en-US"/>
        </w:rPr>
        <w:t>3</w:t>
      </w:r>
      <w:r w:rsidR="0036003A" w:rsidRPr="00935022">
        <w:rPr>
          <w:rFonts w:cs="Times New Roman"/>
          <w:color w:val="404040" w:themeColor="text1" w:themeTint="BF"/>
          <w:sz w:val="22"/>
          <w:lang w:val="en-US"/>
        </w:rPr>
        <w:t>.</w:t>
      </w:r>
      <w:r w:rsidR="007B145E">
        <w:rPr>
          <w:rFonts w:cs="Times New Roman"/>
          <w:color w:val="404040" w:themeColor="text1" w:themeTint="BF"/>
          <w:sz w:val="22"/>
          <w:lang w:val="en-US"/>
        </w:rPr>
        <w:t>1</w:t>
      </w:r>
      <w:r w:rsidR="008B395F" w:rsidRPr="00935022">
        <w:rPr>
          <w:color w:val="404040" w:themeColor="text1" w:themeTint="BF"/>
          <w:sz w:val="22"/>
          <w:lang w:val="en-US"/>
        </w:rPr>
        <w:t xml:space="preserve"> Bq</w:t>
      </w:r>
      <w:r w:rsidR="00911788" w:rsidRPr="00935022">
        <w:rPr>
          <w:color w:val="404040" w:themeColor="text1" w:themeTint="BF"/>
          <w:sz w:val="22"/>
          <w:lang w:val="en-US"/>
        </w:rPr>
        <w:t>.</w:t>
      </w:r>
      <w:r w:rsidR="008B395F" w:rsidRPr="00935022">
        <w:rPr>
          <w:color w:val="404040" w:themeColor="text1" w:themeTint="BF"/>
          <w:sz w:val="22"/>
          <w:lang w:val="en-US"/>
        </w:rPr>
        <w:t>k</w:t>
      </w:r>
      <w:r w:rsidR="00075F7D" w:rsidRPr="00935022">
        <w:rPr>
          <w:color w:val="404040" w:themeColor="text1" w:themeTint="BF"/>
          <w:sz w:val="22"/>
          <w:lang w:val="en-US"/>
        </w:rPr>
        <w:t>g</w:t>
      </w:r>
      <w:r w:rsidR="00193B10" w:rsidRPr="00935022">
        <w:rPr>
          <w:color w:val="404040" w:themeColor="text1" w:themeTint="BF"/>
          <w:sz w:val="22"/>
          <w:vertAlign w:val="superscript"/>
          <w:lang w:val="en-US"/>
        </w:rPr>
        <w:t>-</w:t>
      </w:r>
      <w:r w:rsidR="008B395F" w:rsidRPr="00935022">
        <w:rPr>
          <w:color w:val="404040" w:themeColor="text1" w:themeTint="BF"/>
          <w:sz w:val="22"/>
          <w:vertAlign w:val="superscript"/>
          <w:lang w:val="en-US"/>
        </w:rPr>
        <w:t>1</w:t>
      </w:r>
      <w:r w:rsidR="008B395F" w:rsidRPr="00935022">
        <w:rPr>
          <w:color w:val="404040" w:themeColor="text1" w:themeTint="BF"/>
          <w:sz w:val="22"/>
          <w:lang w:val="en-US"/>
        </w:rPr>
        <w:t>,</w:t>
      </w:r>
      <w:r w:rsidR="00E11BF5">
        <w:rPr>
          <w:color w:val="404040" w:themeColor="text1" w:themeTint="BF"/>
          <w:sz w:val="22"/>
          <w:lang w:val="en-US"/>
        </w:rPr>
        <w:t xml:space="preserve"> </w:t>
      </w:r>
      <w:r w:rsidR="008B395F" w:rsidRPr="00935022">
        <w:rPr>
          <w:color w:val="404040" w:themeColor="text1" w:themeTint="BF"/>
          <w:sz w:val="22"/>
          <w:lang w:val="en-US"/>
        </w:rPr>
        <w:t>respectively.</w:t>
      </w:r>
      <w:r w:rsidR="00E11BF5">
        <w:rPr>
          <w:color w:val="404040" w:themeColor="text1" w:themeTint="BF"/>
          <w:sz w:val="22"/>
          <w:lang w:val="en-US"/>
        </w:rPr>
        <w:t xml:space="preserve"> </w:t>
      </w:r>
      <w:r w:rsidR="00F80A0E" w:rsidRPr="00935022">
        <w:rPr>
          <w:color w:val="404040" w:themeColor="text1" w:themeTint="BF"/>
          <w:sz w:val="22"/>
          <w:lang w:val="en-US"/>
        </w:rPr>
        <w:t xml:space="preserve">The average activity concentrations of </w:t>
      </w:r>
      <w:r w:rsidR="00F80A0E" w:rsidRPr="00935022">
        <w:rPr>
          <w:color w:val="404040" w:themeColor="text1" w:themeTint="BF"/>
          <w:sz w:val="22"/>
          <w:vertAlign w:val="superscript"/>
          <w:lang w:val="en-US"/>
        </w:rPr>
        <w:t>226</w:t>
      </w:r>
      <w:r w:rsidR="00F80A0E" w:rsidRPr="00935022">
        <w:rPr>
          <w:color w:val="404040" w:themeColor="text1" w:themeTint="BF"/>
          <w:sz w:val="22"/>
          <w:lang w:val="en-US"/>
        </w:rPr>
        <w:t>Ra</w:t>
      </w:r>
      <w:r w:rsidR="000B2B6C" w:rsidRPr="00935022">
        <w:rPr>
          <w:color w:val="404040" w:themeColor="text1" w:themeTint="BF"/>
          <w:sz w:val="22"/>
          <w:lang w:val="en-US"/>
        </w:rPr>
        <w:t xml:space="preserve"> and </w:t>
      </w:r>
      <w:r w:rsidR="00F80A0E" w:rsidRPr="00935022">
        <w:rPr>
          <w:color w:val="404040" w:themeColor="text1" w:themeTint="BF"/>
          <w:sz w:val="22"/>
          <w:vertAlign w:val="superscript"/>
          <w:lang w:val="en-US"/>
        </w:rPr>
        <w:t>232</w:t>
      </w:r>
      <w:r w:rsidR="00F80A0E" w:rsidRPr="00935022">
        <w:rPr>
          <w:color w:val="404040" w:themeColor="text1" w:themeTint="BF"/>
          <w:sz w:val="22"/>
          <w:lang w:val="en-US"/>
        </w:rPr>
        <w:t>Th in</w:t>
      </w:r>
      <w:r w:rsidR="000B2B6C" w:rsidRPr="00935022">
        <w:rPr>
          <w:color w:val="404040" w:themeColor="text1" w:themeTint="BF"/>
          <w:sz w:val="22"/>
          <w:lang w:val="en-US"/>
        </w:rPr>
        <w:t xml:space="preserve"> this work</w:t>
      </w:r>
      <w:r w:rsidR="00E11BF5">
        <w:rPr>
          <w:color w:val="404040" w:themeColor="text1" w:themeTint="BF"/>
          <w:sz w:val="22"/>
          <w:lang w:val="en-US"/>
        </w:rPr>
        <w:t xml:space="preserve"> </w:t>
      </w:r>
      <w:r w:rsidR="000B2B6C" w:rsidRPr="00935022">
        <w:rPr>
          <w:color w:val="404040" w:themeColor="text1" w:themeTint="BF"/>
          <w:sz w:val="22"/>
          <w:lang w:val="en-US"/>
        </w:rPr>
        <w:t>are</w:t>
      </w:r>
      <w:r w:rsidR="00F80A0E" w:rsidRPr="00935022">
        <w:rPr>
          <w:color w:val="404040" w:themeColor="text1" w:themeTint="BF"/>
          <w:sz w:val="22"/>
          <w:lang w:val="en-US"/>
        </w:rPr>
        <w:t xml:space="preserve"> higher than</w:t>
      </w:r>
      <w:r w:rsidR="000B2B6C" w:rsidRPr="00935022">
        <w:rPr>
          <w:color w:val="404040" w:themeColor="text1" w:themeTint="BF"/>
          <w:sz w:val="22"/>
          <w:lang w:val="en-US"/>
        </w:rPr>
        <w:t xml:space="preserve"> those</w:t>
      </w:r>
      <w:r w:rsidR="00F80A0E" w:rsidRPr="00935022">
        <w:rPr>
          <w:color w:val="404040" w:themeColor="text1" w:themeTint="BF"/>
          <w:sz w:val="22"/>
          <w:lang w:val="en-US"/>
        </w:rPr>
        <w:t xml:space="preserve"> of the world average value</w:t>
      </w:r>
      <w:r w:rsidR="000B2B6C" w:rsidRPr="00935022">
        <w:rPr>
          <w:color w:val="404040" w:themeColor="text1" w:themeTint="BF"/>
          <w:sz w:val="22"/>
          <w:lang w:val="en-US"/>
        </w:rPr>
        <w:t>s. Meanwhile</w:t>
      </w:r>
      <w:r w:rsidR="00966A25" w:rsidRPr="00935022">
        <w:rPr>
          <w:color w:val="404040" w:themeColor="text1" w:themeTint="BF"/>
          <w:sz w:val="22"/>
          <w:lang w:val="en-US"/>
        </w:rPr>
        <w:t>,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0B2B6C" w:rsidRPr="00935022">
        <w:rPr>
          <w:color w:val="404040" w:themeColor="text1" w:themeTint="BF"/>
          <w:sz w:val="22"/>
          <w:lang w:val="en-US"/>
        </w:rPr>
        <w:t>the</w:t>
      </w:r>
      <w:r w:rsidR="00F80A0E" w:rsidRPr="00935022">
        <w:rPr>
          <w:color w:val="404040" w:themeColor="text1" w:themeTint="BF"/>
          <w:sz w:val="22"/>
          <w:lang w:val="en-US"/>
        </w:rPr>
        <w:t xml:space="preserve">  activity concentration</w:t>
      </w:r>
      <w:r w:rsidR="000B2B6C" w:rsidRPr="00935022">
        <w:rPr>
          <w:color w:val="404040" w:themeColor="text1" w:themeTint="BF"/>
          <w:sz w:val="22"/>
          <w:lang w:val="en-US"/>
        </w:rPr>
        <w:t xml:space="preserve"> of</w:t>
      </w:r>
      <w:r w:rsidR="00E11BF5">
        <w:rPr>
          <w:color w:val="404040" w:themeColor="text1" w:themeTint="BF"/>
          <w:sz w:val="22"/>
          <w:lang w:val="en-US"/>
        </w:rPr>
        <w:t xml:space="preserve"> </w:t>
      </w:r>
      <w:r w:rsidR="00F80A0E" w:rsidRPr="00935022">
        <w:rPr>
          <w:color w:val="404040" w:themeColor="text1" w:themeTint="BF"/>
          <w:sz w:val="22"/>
          <w:vertAlign w:val="superscript"/>
          <w:lang w:val="en-US"/>
        </w:rPr>
        <w:t>40</w:t>
      </w:r>
      <w:r w:rsidR="001E600B">
        <w:rPr>
          <w:color w:val="404040" w:themeColor="text1" w:themeTint="BF"/>
          <w:sz w:val="22"/>
          <w:vertAlign w:val="superscript"/>
          <w:lang w:val="en-US"/>
        </w:rPr>
        <w:t xml:space="preserve"> </w:t>
      </w:r>
      <w:r w:rsidR="00F80A0E" w:rsidRPr="00935022">
        <w:rPr>
          <w:color w:val="404040" w:themeColor="text1" w:themeTint="BF"/>
          <w:sz w:val="22"/>
          <w:lang w:val="en-US"/>
        </w:rPr>
        <w:t>K</w:t>
      </w:r>
      <w:r w:rsidR="00F16FE1" w:rsidRPr="00935022">
        <w:rPr>
          <w:color w:val="404040" w:themeColor="text1" w:themeTint="BF"/>
          <w:sz w:val="22"/>
          <w:lang w:val="en-US"/>
        </w:rPr>
        <w:t xml:space="preserve"> is</w:t>
      </w:r>
      <w:r w:rsidR="001E600B">
        <w:rPr>
          <w:color w:val="404040" w:themeColor="text1" w:themeTint="BF"/>
          <w:sz w:val="22"/>
          <w:lang w:val="en-US"/>
        </w:rPr>
        <w:t xml:space="preserve"> </w:t>
      </w:r>
      <w:r w:rsidR="000B2B6C" w:rsidRPr="00935022">
        <w:rPr>
          <w:rFonts w:cs="Times New Roman"/>
          <w:color w:val="404040" w:themeColor="text1" w:themeTint="BF"/>
          <w:sz w:val="22"/>
          <w:lang w:val="en-US"/>
        </w:rPr>
        <w:t xml:space="preserve">almost the </w:t>
      </w:r>
      <w:r w:rsidR="00A8699A" w:rsidRPr="00935022">
        <w:rPr>
          <w:rFonts w:cs="Times New Roman"/>
          <w:color w:val="404040" w:themeColor="text1" w:themeTint="BF"/>
          <w:sz w:val="22"/>
          <w:lang w:val="en-US"/>
        </w:rPr>
        <w:t xml:space="preserve">same </w:t>
      </w:r>
      <w:r w:rsidR="000B2B6C" w:rsidRPr="00935022">
        <w:rPr>
          <w:rFonts w:cs="Times New Roman"/>
          <w:color w:val="404040" w:themeColor="text1" w:themeTint="BF"/>
          <w:sz w:val="22"/>
          <w:lang w:val="en-US"/>
        </w:rPr>
        <w:t xml:space="preserve">of the world average </w:t>
      </w:r>
      <w:r w:rsidR="00F80A0E" w:rsidRPr="00935022">
        <w:rPr>
          <w:rFonts w:cs="Times New Roman"/>
          <w:color w:val="404040" w:themeColor="text1" w:themeTint="BF"/>
          <w:sz w:val="22"/>
          <w:lang w:val="en-US"/>
        </w:rPr>
        <w:t>value</w:t>
      </w:r>
      <w:r w:rsidR="00CD5124" w:rsidRPr="00935022">
        <w:rPr>
          <w:rFonts w:cs="Times New Roman"/>
          <w:color w:val="404040" w:themeColor="text1" w:themeTint="BF"/>
          <w:sz w:val="22"/>
          <w:lang w:val="en-US"/>
        </w:rPr>
        <w:t xml:space="preserve">. The estimated average outdoor annual effective dose (E) and </w:t>
      </w:r>
      <w:r w:rsidR="006A658D" w:rsidRPr="00935022">
        <w:rPr>
          <w:rFonts w:cs="Times New Roman"/>
          <w:color w:val="404040" w:themeColor="text1" w:themeTint="BF"/>
          <w:sz w:val="22"/>
          <w:lang w:val="en-US"/>
        </w:rPr>
        <w:t>radium equivalent actitvity</w:t>
      </w:r>
      <w:r w:rsidR="00856280" w:rsidRPr="00935022">
        <w:rPr>
          <w:rFonts w:cs="Times New Roman"/>
          <w:color w:val="404040" w:themeColor="text1" w:themeTint="BF"/>
          <w:sz w:val="22"/>
          <w:lang w:val="en-US"/>
        </w:rPr>
        <w:t xml:space="preserve"> (Ra</w:t>
      </w:r>
      <w:r w:rsidR="00856280" w:rsidRPr="00935022">
        <w:rPr>
          <w:rFonts w:cs="Times New Roman"/>
          <w:color w:val="404040" w:themeColor="text1" w:themeTint="BF"/>
          <w:sz w:val="22"/>
          <w:vertAlign w:val="subscript"/>
          <w:lang w:val="en-US"/>
        </w:rPr>
        <w:t>eq</w:t>
      </w:r>
      <w:r w:rsidR="00856280" w:rsidRPr="00935022">
        <w:rPr>
          <w:rFonts w:cs="Times New Roman"/>
          <w:color w:val="404040" w:themeColor="text1" w:themeTint="BF"/>
          <w:sz w:val="22"/>
          <w:lang w:val="en-US"/>
        </w:rPr>
        <w:t xml:space="preserve">) </w:t>
      </w:r>
      <w:r w:rsidR="006A658D" w:rsidRPr="00935022">
        <w:rPr>
          <w:rFonts w:cs="Times New Roman"/>
          <w:color w:val="404040" w:themeColor="text1" w:themeTint="BF"/>
          <w:sz w:val="22"/>
          <w:lang w:val="en-US"/>
        </w:rPr>
        <w:t>are</w:t>
      </w:r>
      <w:r w:rsidR="001E600B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7B145E">
        <w:rPr>
          <w:rFonts w:cs="Times New Roman"/>
          <w:color w:val="404040" w:themeColor="text1" w:themeTint="BF"/>
          <w:sz w:val="22"/>
        </w:rPr>
        <w:t>0.1</w:t>
      </w:r>
      <w:r w:rsidR="007B145E">
        <w:rPr>
          <w:rFonts w:cs="Times New Roman"/>
          <w:color w:val="404040" w:themeColor="text1" w:themeTint="BF"/>
          <w:sz w:val="22"/>
          <w:lang w:val="en-US"/>
        </w:rPr>
        <w:t xml:space="preserve">7 </w:t>
      </w:r>
      <w:r w:rsidR="007B145E" w:rsidRPr="005A4AAD">
        <w:rPr>
          <w:rFonts w:cs="Times New Roman"/>
          <w:color w:val="404040" w:themeColor="text1" w:themeTint="BF"/>
          <w:sz w:val="22"/>
        </w:rPr>
        <w:t>±</w:t>
      </w:r>
      <w:r w:rsidR="007B145E">
        <w:rPr>
          <w:rFonts w:cs="Times New Roman"/>
          <w:color w:val="404040" w:themeColor="text1" w:themeTint="BF"/>
          <w:sz w:val="22"/>
          <w:lang w:val="en-US"/>
        </w:rPr>
        <w:t xml:space="preserve"> 0.02</w:t>
      </w:r>
      <w:r w:rsidR="00E11BF5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D21567" w:rsidRPr="00935022">
        <w:rPr>
          <w:rFonts w:cs="Times New Roman"/>
          <w:color w:val="404040" w:themeColor="text1" w:themeTint="BF"/>
          <w:sz w:val="22"/>
          <w:lang w:val="en-US"/>
        </w:rPr>
        <w:t>mSv.y</w:t>
      </w:r>
      <w:r w:rsidR="00717F4B" w:rsidRPr="00935022">
        <w:rPr>
          <w:rFonts w:cs="Times New Roman"/>
          <w:color w:val="404040" w:themeColor="text1" w:themeTint="BF"/>
          <w:sz w:val="22"/>
          <w:lang w:val="en-US"/>
        </w:rPr>
        <w:t>r</w:t>
      </w:r>
      <w:r w:rsidR="00D21567" w:rsidRPr="00935022">
        <w:rPr>
          <w:rFonts w:cs="Times New Roman"/>
          <w:color w:val="404040" w:themeColor="text1" w:themeTint="BF"/>
          <w:sz w:val="22"/>
          <w:vertAlign w:val="superscript"/>
          <w:lang w:val="en-US"/>
        </w:rPr>
        <w:t>-1</w:t>
      </w:r>
      <w:r w:rsidR="00E11BF5">
        <w:rPr>
          <w:rFonts w:cs="Times New Roman"/>
          <w:color w:val="404040" w:themeColor="text1" w:themeTint="BF"/>
          <w:sz w:val="22"/>
          <w:vertAlign w:val="superscript"/>
          <w:lang w:val="en-US"/>
        </w:rPr>
        <w:t xml:space="preserve"> </w:t>
      </w:r>
      <w:r w:rsidR="00D21567" w:rsidRPr="00935022">
        <w:rPr>
          <w:rFonts w:cs="Times New Roman"/>
          <w:color w:val="404040" w:themeColor="text1" w:themeTint="BF"/>
          <w:sz w:val="22"/>
          <w:lang w:val="en-US"/>
        </w:rPr>
        <w:t xml:space="preserve">and </w:t>
      </w:r>
      <w:r w:rsidR="007B145E">
        <w:rPr>
          <w:rFonts w:cs="Times New Roman"/>
          <w:color w:val="404040" w:themeColor="text1" w:themeTint="BF"/>
          <w:sz w:val="22"/>
          <w:lang w:val="en-US"/>
        </w:rPr>
        <w:t>15</w:t>
      </w:r>
      <w:r w:rsidR="00B50327">
        <w:rPr>
          <w:rFonts w:cs="Times New Roman"/>
          <w:color w:val="404040" w:themeColor="text1" w:themeTint="BF"/>
          <w:sz w:val="22"/>
          <w:lang w:val="en-US"/>
        </w:rPr>
        <w:t>4</w:t>
      </w:r>
      <w:r w:rsidR="007B145E">
        <w:rPr>
          <w:rFonts w:cs="Times New Roman"/>
          <w:color w:val="404040" w:themeColor="text1" w:themeTint="BF"/>
          <w:sz w:val="22"/>
          <w:lang w:val="en-US"/>
        </w:rPr>
        <w:t>.</w:t>
      </w:r>
      <w:r w:rsidR="00B50327">
        <w:rPr>
          <w:rFonts w:cs="Times New Roman"/>
          <w:color w:val="404040" w:themeColor="text1" w:themeTint="BF"/>
          <w:sz w:val="22"/>
          <w:lang w:val="en-US"/>
        </w:rPr>
        <w:t>8</w:t>
      </w:r>
      <w:r w:rsidR="001E600B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7B145E" w:rsidRPr="005A4AAD">
        <w:rPr>
          <w:rFonts w:cs="Times New Roman"/>
          <w:color w:val="404040" w:themeColor="text1" w:themeTint="BF"/>
          <w:sz w:val="22"/>
        </w:rPr>
        <w:t>±</w:t>
      </w:r>
      <w:r w:rsidR="007B145E">
        <w:rPr>
          <w:rFonts w:cs="Times New Roman"/>
          <w:color w:val="404040" w:themeColor="text1" w:themeTint="BF"/>
          <w:sz w:val="22"/>
          <w:lang w:val="en-US"/>
        </w:rPr>
        <w:t xml:space="preserve"> 16</w:t>
      </w:r>
      <w:r w:rsidR="007B145E" w:rsidRPr="005A4AAD">
        <w:rPr>
          <w:rFonts w:cs="Times New Roman"/>
          <w:color w:val="404040" w:themeColor="text1" w:themeTint="BF"/>
          <w:sz w:val="22"/>
          <w:lang w:val="en-US"/>
        </w:rPr>
        <w:t>.1</w:t>
      </w:r>
      <w:r w:rsidR="00E11BF5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6A658D" w:rsidRPr="00935022">
        <w:rPr>
          <w:rFonts w:cs="Times New Roman"/>
          <w:color w:val="404040" w:themeColor="text1" w:themeTint="BF"/>
          <w:sz w:val="22"/>
          <w:lang w:val="en-US"/>
        </w:rPr>
        <w:t>Bq.kg</w:t>
      </w:r>
      <w:r w:rsidR="006A658D" w:rsidRPr="00935022">
        <w:rPr>
          <w:rFonts w:cs="Times New Roman"/>
          <w:color w:val="404040" w:themeColor="text1" w:themeTint="BF"/>
          <w:sz w:val="22"/>
          <w:vertAlign w:val="superscript"/>
          <w:lang w:val="en-US"/>
        </w:rPr>
        <w:t>-1</w:t>
      </w:r>
      <w:r w:rsidR="006A658D" w:rsidRPr="00935022">
        <w:rPr>
          <w:rFonts w:cs="Times New Roman"/>
          <w:color w:val="404040" w:themeColor="text1" w:themeTint="BF"/>
          <w:sz w:val="22"/>
          <w:lang w:val="en-US"/>
        </w:rPr>
        <w:t>,</w:t>
      </w:r>
      <w:r w:rsidR="001E600B">
        <w:rPr>
          <w:rFonts w:cs="Times New Roman"/>
          <w:color w:val="404040" w:themeColor="text1" w:themeTint="BF"/>
          <w:sz w:val="22"/>
          <w:lang w:val="en-US"/>
        </w:rPr>
        <w:t xml:space="preserve"> </w:t>
      </w:r>
      <w:r w:rsidR="006A658D" w:rsidRPr="00935022">
        <w:rPr>
          <w:rFonts w:cs="Times New Roman"/>
          <w:color w:val="404040" w:themeColor="text1" w:themeTint="BF"/>
          <w:sz w:val="22"/>
          <w:lang w:val="en-US"/>
        </w:rPr>
        <w:t>respectively.</w:t>
      </w:r>
    </w:p>
    <w:p w:rsidR="00234881" w:rsidRPr="00935022" w:rsidRDefault="00234881" w:rsidP="00FD5730">
      <w:pPr>
        <w:ind w:left="284"/>
        <w:jc w:val="thaiDistribute"/>
        <w:rPr>
          <w:i/>
          <w:color w:val="404040" w:themeColor="text1" w:themeTint="BF"/>
          <w:sz w:val="22"/>
          <w:szCs w:val="24"/>
          <w:lang w:val="en-US" w:bidi="lo-LA"/>
        </w:rPr>
      </w:pPr>
      <w:r w:rsidRPr="00935022">
        <w:rPr>
          <w:color w:val="404040" w:themeColor="text1" w:themeTint="BF"/>
          <w:sz w:val="22"/>
          <w:szCs w:val="24"/>
          <w:lang w:val="en-US" w:bidi="lo-LA"/>
        </w:rPr>
        <w:t xml:space="preserve">Keywords: </w:t>
      </w:r>
      <w:r w:rsidR="006049C2" w:rsidRPr="00935022">
        <w:rPr>
          <w:i/>
          <w:color w:val="404040" w:themeColor="text1" w:themeTint="BF"/>
          <w:sz w:val="22"/>
          <w:szCs w:val="24"/>
          <w:lang w:val="en-US"/>
        </w:rPr>
        <w:t xml:space="preserve">Gamma </w:t>
      </w:r>
      <w:r w:rsidRPr="00935022">
        <w:rPr>
          <w:i/>
          <w:color w:val="404040" w:themeColor="text1" w:themeTint="BF"/>
          <w:sz w:val="22"/>
          <w:szCs w:val="24"/>
          <w:lang w:val="en-US"/>
        </w:rPr>
        <w:t>spectrometry,</w:t>
      </w:r>
      <w:r w:rsidR="00E11BF5">
        <w:rPr>
          <w:i/>
          <w:color w:val="404040" w:themeColor="text1" w:themeTint="BF"/>
          <w:sz w:val="22"/>
          <w:szCs w:val="24"/>
          <w:lang w:val="en-US"/>
        </w:rPr>
        <w:t xml:space="preserve"> </w:t>
      </w:r>
      <w:r w:rsidRPr="00935022">
        <w:rPr>
          <w:i/>
          <w:color w:val="404040" w:themeColor="text1" w:themeTint="BF"/>
          <w:sz w:val="22"/>
          <w:szCs w:val="24"/>
          <w:lang w:val="en-US" w:bidi="lo-LA"/>
        </w:rPr>
        <w:t>Activity concentration,</w:t>
      </w:r>
      <w:r w:rsidR="00E11BF5">
        <w:rPr>
          <w:i/>
          <w:color w:val="404040" w:themeColor="text1" w:themeTint="BF"/>
          <w:sz w:val="22"/>
          <w:szCs w:val="24"/>
          <w:lang w:val="en-US" w:bidi="lo-LA"/>
        </w:rPr>
        <w:t xml:space="preserve"> </w:t>
      </w:r>
      <w:r w:rsidRPr="00935022">
        <w:rPr>
          <w:rFonts w:eastAsiaTheme="minorEastAsia"/>
          <w:i/>
          <w:color w:val="404040" w:themeColor="text1" w:themeTint="BF"/>
          <w:sz w:val="22"/>
          <w:szCs w:val="24"/>
          <w:lang w:val="en-US" w:bidi="lo-LA"/>
        </w:rPr>
        <w:t>Radium Equivalent Activity,</w:t>
      </w:r>
      <w:r w:rsidR="00E11BF5">
        <w:rPr>
          <w:rFonts w:eastAsiaTheme="minorEastAsia"/>
          <w:i/>
          <w:color w:val="404040" w:themeColor="text1" w:themeTint="BF"/>
          <w:sz w:val="22"/>
          <w:szCs w:val="24"/>
          <w:lang w:val="en-US" w:bidi="lo-LA"/>
        </w:rPr>
        <w:t xml:space="preserve"> </w:t>
      </w:r>
      <w:r w:rsidRPr="00935022">
        <w:rPr>
          <w:rFonts w:eastAsiaTheme="minorEastAsia"/>
          <w:i/>
          <w:color w:val="404040" w:themeColor="text1" w:themeTint="BF"/>
          <w:sz w:val="22"/>
          <w:szCs w:val="24"/>
          <w:lang w:val="en-US" w:bidi="lo-LA"/>
        </w:rPr>
        <w:t>Absorbed  gamma  dose  rate,</w:t>
      </w:r>
      <w:r w:rsidR="00E11BF5">
        <w:rPr>
          <w:rFonts w:eastAsiaTheme="minorEastAsia"/>
          <w:i/>
          <w:color w:val="404040" w:themeColor="text1" w:themeTint="BF"/>
          <w:sz w:val="22"/>
          <w:szCs w:val="24"/>
          <w:lang w:val="en-US" w:bidi="lo-LA"/>
        </w:rPr>
        <w:t xml:space="preserve"> </w:t>
      </w:r>
      <w:r w:rsidRPr="00935022">
        <w:rPr>
          <w:i/>
          <w:color w:val="404040" w:themeColor="text1" w:themeTint="BF"/>
          <w:sz w:val="22"/>
          <w:szCs w:val="24"/>
          <w:lang w:val="en-US"/>
        </w:rPr>
        <w:t>Annual  effective  dose  rate</w:t>
      </w:r>
      <w:r w:rsidR="00CF7EA6" w:rsidRPr="00935022">
        <w:rPr>
          <w:i/>
          <w:color w:val="404040" w:themeColor="text1" w:themeTint="BF"/>
          <w:sz w:val="22"/>
          <w:szCs w:val="24"/>
          <w:lang w:val="en-US"/>
        </w:rPr>
        <w:t>,</w:t>
      </w:r>
      <w:r w:rsidR="00E11BF5">
        <w:rPr>
          <w:i/>
          <w:color w:val="404040" w:themeColor="text1" w:themeTint="BF"/>
          <w:sz w:val="22"/>
          <w:szCs w:val="24"/>
          <w:lang w:val="en-US"/>
        </w:rPr>
        <w:t xml:space="preserve"> </w:t>
      </w:r>
      <w:r w:rsidR="00CF7EA6" w:rsidRPr="00935022">
        <w:rPr>
          <w:rFonts w:eastAsiaTheme="minorEastAsia"/>
          <w:i/>
          <w:color w:val="404040" w:themeColor="text1" w:themeTint="BF"/>
          <w:sz w:val="22"/>
          <w:szCs w:val="24"/>
          <w:lang w:val="en-US" w:bidi="lo-LA"/>
        </w:rPr>
        <w:t>Minimum Detection Limit.</w:t>
      </w:r>
    </w:p>
    <w:p w:rsidR="00762E9C" w:rsidRPr="00935022" w:rsidRDefault="0068020A" w:rsidP="00E11BF5">
      <w:pPr>
        <w:spacing w:after="120"/>
        <w:ind w:left="284"/>
        <w:jc w:val="thaiDistribute"/>
        <w:rPr>
          <w:b/>
          <w:bCs/>
          <w:color w:val="404040" w:themeColor="text1" w:themeTint="BF"/>
          <w:sz w:val="28"/>
          <w:szCs w:val="28"/>
          <w:lang w:val="en-US"/>
        </w:rPr>
      </w:pPr>
      <w:r w:rsidRPr="00935022">
        <w:rPr>
          <w:b/>
          <w:bCs/>
          <w:color w:val="404040" w:themeColor="text1" w:themeTint="BF"/>
          <w:sz w:val="28"/>
          <w:szCs w:val="28"/>
          <w:lang w:val="en-US"/>
        </w:rPr>
        <w:t xml:space="preserve">1. </w:t>
      </w:r>
      <w:r w:rsidR="00762E9C" w:rsidRPr="00935022">
        <w:rPr>
          <w:b/>
          <w:bCs/>
          <w:color w:val="404040" w:themeColor="text1" w:themeTint="BF"/>
          <w:sz w:val="28"/>
          <w:szCs w:val="28"/>
          <w:lang w:val="en-US"/>
        </w:rPr>
        <w:t>Introduction</w:t>
      </w:r>
    </w:p>
    <w:p w:rsidR="00762E9C" w:rsidRPr="00935022" w:rsidRDefault="00541D68" w:rsidP="003A6AF1">
      <w:pPr>
        <w:ind w:firstLine="567"/>
        <w:jc w:val="thaiDistribute"/>
        <w:rPr>
          <w:color w:val="404040" w:themeColor="text1" w:themeTint="BF"/>
          <w:szCs w:val="24"/>
          <w:lang w:val="en-US"/>
        </w:rPr>
      </w:pPr>
      <w:r w:rsidRPr="00935022">
        <w:rPr>
          <w:color w:val="404040" w:themeColor="text1" w:themeTint="BF"/>
          <w:szCs w:val="24"/>
          <w:lang w:val="en-US"/>
        </w:rPr>
        <w:t>Natural radioactivity is widespread in the earth’s environment,</w:t>
      </w:r>
      <w:r w:rsidR="006C49EE">
        <w:rPr>
          <w:color w:val="404040" w:themeColor="text1" w:themeTint="BF"/>
          <w:szCs w:val="24"/>
          <w:lang w:val="en-US"/>
        </w:rPr>
        <w:t xml:space="preserve"> </w:t>
      </w:r>
      <w:r w:rsidRPr="00935022">
        <w:rPr>
          <w:color w:val="404040" w:themeColor="text1" w:themeTint="BF"/>
          <w:szCs w:val="24"/>
          <w:lang w:val="en-US"/>
        </w:rPr>
        <w:t>it exists in the soil,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Pr="00935022">
        <w:rPr>
          <w:color w:val="404040" w:themeColor="text1" w:themeTint="BF"/>
          <w:szCs w:val="24"/>
          <w:lang w:val="en-US"/>
        </w:rPr>
        <w:t>plants,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Pr="00935022">
        <w:rPr>
          <w:color w:val="404040" w:themeColor="text1" w:themeTint="BF"/>
          <w:szCs w:val="24"/>
          <w:lang w:val="en-US"/>
        </w:rPr>
        <w:t>water,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Pr="00935022">
        <w:rPr>
          <w:color w:val="404040" w:themeColor="text1" w:themeTint="BF"/>
          <w:szCs w:val="24"/>
          <w:lang w:val="en-US"/>
        </w:rPr>
        <w:t>and airs.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Pr="00935022">
        <w:rPr>
          <w:color w:val="404040" w:themeColor="text1" w:themeTint="BF"/>
          <w:szCs w:val="24"/>
          <w:lang w:val="en-US"/>
        </w:rPr>
        <w:t xml:space="preserve">The gamma radiation from natural radionuclides and cosmic rays constitute </w:t>
      </w:r>
      <w:r w:rsidR="007C52E5" w:rsidRPr="00935022">
        <w:rPr>
          <w:color w:val="404040" w:themeColor="text1" w:themeTint="BF"/>
          <w:szCs w:val="24"/>
          <w:lang w:val="en-US"/>
        </w:rPr>
        <w:t>the external exposure.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="007C52E5" w:rsidRPr="00935022">
        <w:rPr>
          <w:color w:val="404040" w:themeColor="text1" w:themeTint="BF"/>
          <w:szCs w:val="24"/>
          <w:lang w:val="en-US"/>
        </w:rPr>
        <w:t>Natural radionuclides in the soil generate a signific</w:t>
      </w:r>
      <w:r w:rsidR="001C025F" w:rsidRPr="00935022">
        <w:rPr>
          <w:color w:val="404040" w:themeColor="text1" w:themeTint="BF"/>
          <w:szCs w:val="24"/>
          <w:lang w:val="en-US"/>
        </w:rPr>
        <w:t>ant component of the b</w:t>
      </w:r>
      <w:r w:rsidR="007C52E5" w:rsidRPr="00935022">
        <w:rPr>
          <w:color w:val="404040" w:themeColor="text1" w:themeTint="BF"/>
          <w:szCs w:val="24"/>
          <w:lang w:val="en-US"/>
        </w:rPr>
        <w:t>a</w:t>
      </w:r>
      <w:r w:rsidR="001C025F" w:rsidRPr="00935022">
        <w:rPr>
          <w:color w:val="404040" w:themeColor="text1" w:themeTint="BF"/>
          <w:szCs w:val="24"/>
          <w:lang w:val="en-US"/>
        </w:rPr>
        <w:t>ck</w:t>
      </w:r>
      <w:r w:rsidR="007C52E5" w:rsidRPr="00935022">
        <w:rPr>
          <w:color w:val="404040" w:themeColor="text1" w:themeTint="BF"/>
          <w:szCs w:val="24"/>
          <w:lang w:val="en-US"/>
        </w:rPr>
        <w:t>ground  radiation exposure to the po</w:t>
      </w:r>
      <w:r w:rsidR="001C025F" w:rsidRPr="00935022">
        <w:rPr>
          <w:color w:val="404040" w:themeColor="text1" w:themeTint="BF"/>
          <w:szCs w:val="24"/>
          <w:lang w:val="en-US"/>
        </w:rPr>
        <w:t>p</w:t>
      </w:r>
      <w:r w:rsidR="007C52E5" w:rsidRPr="00935022">
        <w:rPr>
          <w:color w:val="404040" w:themeColor="text1" w:themeTint="BF"/>
          <w:szCs w:val="24"/>
          <w:lang w:val="en-US"/>
        </w:rPr>
        <w:t>ulation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="007C52E5" w:rsidRPr="00935022">
        <w:rPr>
          <w:color w:val="404040" w:themeColor="text1" w:themeTint="BF"/>
          <w:szCs w:val="24"/>
          <w:lang w:val="en-US"/>
        </w:rPr>
        <w:t>[</w:t>
      </w:r>
      <w:r w:rsidR="001E600B">
        <w:rPr>
          <w:color w:val="404040" w:themeColor="text1" w:themeTint="BF"/>
          <w:szCs w:val="24"/>
          <w:lang w:val="en-US"/>
        </w:rPr>
        <w:t>1,</w:t>
      </w:r>
      <w:r w:rsidR="006A42D7" w:rsidRPr="00935022">
        <w:rPr>
          <w:color w:val="404040" w:themeColor="text1" w:themeTint="BF"/>
          <w:szCs w:val="24"/>
          <w:lang w:val="en-US"/>
        </w:rPr>
        <w:t>2</w:t>
      </w:r>
      <w:r w:rsidR="007C52E5" w:rsidRPr="00935022">
        <w:rPr>
          <w:color w:val="404040" w:themeColor="text1" w:themeTint="BF"/>
          <w:szCs w:val="24"/>
          <w:lang w:val="en-US"/>
        </w:rPr>
        <w:t>]</w:t>
      </w:r>
      <w:r w:rsidR="00A97CA5" w:rsidRPr="00935022">
        <w:rPr>
          <w:color w:val="404040" w:themeColor="text1" w:themeTint="BF"/>
          <w:szCs w:val="24"/>
          <w:lang w:val="en-US"/>
        </w:rPr>
        <w:t>.</w:t>
      </w:r>
      <w:r w:rsidR="001E600B">
        <w:rPr>
          <w:color w:val="404040" w:themeColor="text1" w:themeTint="BF"/>
          <w:szCs w:val="24"/>
          <w:lang w:val="en-US"/>
        </w:rPr>
        <w:t xml:space="preserve"> </w:t>
      </w:r>
      <w:r w:rsidR="007C52E5" w:rsidRPr="00935022">
        <w:rPr>
          <w:color w:val="404040" w:themeColor="text1" w:themeTint="BF"/>
          <w:szCs w:val="24"/>
          <w:lang w:val="en-US"/>
        </w:rPr>
        <w:t xml:space="preserve">Radionuclides in soils, belonging to the </w:t>
      </w:r>
      <w:r w:rsidR="007C52E5" w:rsidRPr="00B47E7A">
        <w:rPr>
          <w:color w:val="000000" w:themeColor="text1"/>
          <w:szCs w:val="24"/>
          <w:vertAlign w:val="superscript"/>
          <w:lang w:val="en-US"/>
        </w:rPr>
        <w:t>226</w:t>
      </w:r>
      <w:r w:rsidR="007C52E5" w:rsidRPr="00B47E7A">
        <w:rPr>
          <w:color w:val="000000" w:themeColor="text1"/>
          <w:szCs w:val="24"/>
          <w:lang w:val="en-US"/>
        </w:rPr>
        <w:t>Ra</w:t>
      </w:r>
      <w:r w:rsidR="00A4499F" w:rsidRPr="00B47E7A">
        <w:rPr>
          <w:color w:val="000000" w:themeColor="text1"/>
          <w:szCs w:val="24"/>
          <w:lang w:val="en-US"/>
        </w:rPr>
        <w:t xml:space="preserve"> </w:t>
      </w:r>
      <w:r w:rsidR="007C52E5" w:rsidRPr="00935022">
        <w:rPr>
          <w:color w:val="404040" w:themeColor="text1" w:themeTint="BF"/>
          <w:szCs w:val="24"/>
          <w:lang w:val="en-US"/>
        </w:rPr>
        <w:t xml:space="preserve">and </w:t>
      </w:r>
      <w:r w:rsidR="007C52E5" w:rsidRPr="00935022">
        <w:rPr>
          <w:color w:val="404040" w:themeColor="text1" w:themeTint="BF"/>
          <w:szCs w:val="24"/>
          <w:vertAlign w:val="superscript"/>
          <w:lang w:val="en-US"/>
        </w:rPr>
        <w:t>232</w:t>
      </w:r>
      <w:r w:rsidR="007C52E5" w:rsidRPr="00935022">
        <w:rPr>
          <w:color w:val="404040" w:themeColor="text1" w:themeTint="BF"/>
          <w:szCs w:val="24"/>
          <w:lang w:val="en-US"/>
        </w:rPr>
        <w:t>Th series, as well as radioisotope of the potassi</w:t>
      </w:r>
      <w:r w:rsidR="001C025F" w:rsidRPr="00935022">
        <w:rPr>
          <w:color w:val="404040" w:themeColor="text1" w:themeTint="BF"/>
          <w:szCs w:val="24"/>
          <w:lang w:val="en-US"/>
        </w:rPr>
        <w:t>u</w:t>
      </w:r>
      <w:r w:rsidR="007C52E5" w:rsidRPr="00935022">
        <w:rPr>
          <w:color w:val="404040" w:themeColor="text1" w:themeTint="BF"/>
          <w:szCs w:val="24"/>
          <w:lang w:val="en-US"/>
        </w:rPr>
        <w:t>m (</w:t>
      </w:r>
      <w:r w:rsidR="007C52E5" w:rsidRPr="00935022">
        <w:rPr>
          <w:color w:val="404040" w:themeColor="text1" w:themeTint="BF"/>
          <w:szCs w:val="24"/>
          <w:vertAlign w:val="superscript"/>
          <w:lang w:val="en-US"/>
        </w:rPr>
        <w:t>40</w:t>
      </w:r>
      <w:r w:rsidR="007C52E5" w:rsidRPr="00935022">
        <w:rPr>
          <w:color w:val="404040" w:themeColor="text1" w:themeTint="BF"/>
          <w:szCs w:val="24"/>
          <w:lang w:val="en-US"/>
        </w:rPr>
        <w:t>K),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="007C52E5" w:rsidRPr="00935022">
        <w:rPr>
          <w:color w:val="404040" w:themeColor="text1" w:themeTint="BF"/>
          <w:szCs w:val="24"/>
          <w:lang w:val="en-US"/>
        </w:rPr>
        <w:t>are the major contributors of outdoor terrest</w:t>
      </w:r>
      <w:r w:rsidR="001C025F" w:rsidRPr="00935022">
        <w:rPr>
          <w:color w:val="404040" w:themeColor="text1" w:themeTint="BF"/>
          <w:szCs w:val="24"/>
          <w:lang w:val="en-US"/>
        </w:rPr>
        <w:t>r</w:t>
      </w:r>
      <w:r w:rsidR="007C52E5" w:rsidRPr="00935022">
        <w:rPr>
          <w:color w:val="404040" w:themeColor="text1" w:themeTint="BF"/>
          <w:szCs w:val="24"/>
          <w:lang w:val="en-US"/>
        </w:rPr>
        <w:t>ial natural radiation</w:t>
      </w:r>
      <w:r w:rsidR="00A4499F">
        <w:rPr>
          <w:color w:val="404040" w:themeColor="text1" w:themeTint="BF"/>
          <w:szCs w:val="24"/>
          <w:lang w:val="en-US"/>
        </w:rPr>
        <w:t xml:space="preserve"> </w:t>
      </w:r>
      <w:r w:rsidR="007C52E5" w:rsidRPr="00935022">
        <w:rPr>
          <w:color w:val="404040" w:themeColor="text1" w:themeTint="BF"/>
          <w:szCs w:val="24"/>
          <w:lang w:val="en-US"/>
        </w:rPr>
        <w:t>[</w:t>
      </w:r>
      <w:r w:rsidR="006A42D7" w:rsidRPr="00935022">
        <w:rPr>
          <w:color w:val="404040" w:themeColor="text1" w:themeTint="BF"/>
          <w:szCs w:val="24"/>
          <w:lang w:val="en-US"/>
        </w:rPr>
        <w:t>3</w:t>
      </w:r>
      <w:r w:rsidR="007C52E5" w:rsidRPr="00935022">
        <w:rPr>
          <w:color w:val="404040" w:themeColor="text1" w:themeTint="BF"/>
          <w:szCs w:val="24"/>
          <w:lang w:val="en-US"/>
        </w:rPr>
        <w:t>]</w:t>
      </w:r>
      <w:r w:rsidR="00A97CA5" w:rsidRPr="00935022">
        <w:rPr>
          <w:color w:val="404040" w:themeColor="text1" w:themeTint="BF"/>
          <w:szCs w:val="24"/>
          <w:lang w:val="en-US"/>
        </w:rPr>
        <w:t>.</w:t>
      </w:r>
      <w:r w:rsidR="00E11BF5">
        <w:rPr>
          <w:color w:val="404040" w:themeColor="text1" w:themeTint="BF"/>
          <w:szCs w:val="24"/>
          <w:lang w:val="en-US"/>
        </w:rPr>
        <w:t xml:space="preserve"> </w:t>
      </w:r>
      <w:r w:rsidR="00A97CA5" w:rsidRPr="00935022">
        <w:rPr>
          <w:color w:val="404040" w:themeColor="text1" w:themeTint="BF"/>
          <w:szCs w:val="24"/>
          <w:lang w:val="en-US"/>
        </w:rPr>
        <w:t>Natural radioactivity depends primarily on the geological and geographical conditions,</w:t>
      </w:r>
      <w:r w:rsidR="00CF3840" w:rsidRPr="00935022">
        <w:rPr>
          <w:color w:val="404040" w:themeColor="text1" w:themeTint="BF"/>
          <w:szCs w:val="24"/>
          <w:lang w:val="en-US"/>
        </w:rPr>
        <w:t xml:space="preserve"> and appears at the dif</w:t>
      </w:r>
      <w:r w:rsidR="00A97CA5" w:rsidRPr="00935022">
        <w:rPr>
          <w:color w:val="404040" w:themeColor="text1" w:themeTint="BF"/>
          <w:szCs w:val="24"/>
          <w:lang w:val="en-US"/>
        </w:rPr>
        <w:t>ferent level in the soils of each region in the world (UNSCEAR,2000)</w:t>
      </w:r>
      <w:r w:rsidR="001E600B">
        <w:rPr>
          <w:color w:val="404040" w:themeColor="text1" w:themeTint="BF"/>
          <w:szCs w:val="24"/>
          <w:lang w:val="en-US"/>
        </w:rPr>
        <w:t xml:space="preserve"> </w:t>
      </w:r>
      <w:r w:rsidR="00490575" w:rsidRPr="00935022">
        <w:rPr>
          <w:color w:val="404040" w:themeColor="text1" w:themeTint="BF"/>
          <w:szCs w:val="24"/>
          <w:lang w:val="en-US"/>
        </w:rPr>
        <w:t>[</w:t>
      </w:r>
      <w:r w:rsidR="00911788" w:rsidRPr="00935022">
        <w:rPr>
          <w:color w:val="404040" w:themeColor="text1" w:themeTint="BF"/>
          <w:szCs w:val="24"/>
          <w:lang w:val="en-US"/>
        </w:rPr>
        <w:t>1</w:t>
      </w:r>
      <w:r w:rsidR="00490575" w:rsidRPr="00935022">
        <w:rPr>
          <w:color w:val="404040" w:themeColor="text1" w:themeTint="BF"/>
          <w:szCs w:val="24"/>
          <w:lang w:val="en-US"/>
        </w:rPr>
        <w:t xml:space="preserve">]. </w:t>
      </w:r>
      <w:r w:rsidR="008B1BF6" w:rsidRPr="00935022">
        <w:rPr>
          <w:color w:val="404040" w:themeColor="text1" w:themeTint="BF"/>
          <w:szCs w:val="24"/>
          <w:lang w:val="en-US"/>
        </w:rPr>
        <w:t>Our present study aimed</w:t>
      </w:r>
      <w:r w:rsidR="008B1BF6" w:rsidRPr="00E11BF5">
        <w:rPr>
          <w:color w:val="000000" w:themeColor="text1"/>
          <w:szCs w:val="24"/>
          <w:lang w:val="en-US"/>
        </w:rPr>
        <w:t xml:space="preserve"> at </w:t>
      </w:r>
      <w:r w:rsidR="001C025F" w:rsidRPr="00E11BF5">
        <w:rPr>
          <w:color w:val="000000" w:themeColor="text1"/>
          <w:szCs w:val="24"/>
          <w:lang w:val="en-US"/>
        </w:rPr>
        <w:t>the</w:t>
      </w:r>
      <w:r w:rsidR="00660F12">
        <w:rPr>
          <w:color w:val="000000" w:themeColor="text1"/>
          <w:szCs w:val="24"/>
          <w:lang w:val="en-US"/>
        </w:rPr>
        <w:t xml:space="preserve"> </w:t>
      </w:r>
      <w:r w:rsidR="00E11BF5" w:rsidRPr="00660F12">
        <w:rPr>
          <w:color w:val="595959" w:themeColor="text1" w:themeTint="A6"/>
          <w:szCs w:val="24"/>
          <w:lang w:val="en-US"/>
        </w:rPr>
        <w:t>determining</w:t>
      </w:r>
      <w:r w:rsidR="00E11BF5" w:rsidRPr="00E11BF5">
        <w:rPr>
          <w:color w:val="FF0000"/>
          <w:szCs w:val="24"/>
          <w:lang w:val="en-US"/>
        </w:rPr>
        <w:t xml:space="preserve"> </w:t>
      </w:r>
      <w:r w:rsidR="00490575" w:rsidRPr="00935022">
        <w:rPr>
          <w:color w:val="404040" w:themeColor="text1" w:themeTint="BF"/>
          <w:szCs w:val="24"/>
          <w:lang w:val="en-US"/>
        </w:rPr>
        <w:t>of</w:t>
      </w:r>
      <w:r w:rsidR="008B1BF6" w:rsidRPr="00935022">
        <w:rPr>
          <w:color w:val="404040" w:themeColor="text1" w:themeTint="BF"/>
          <w:szCs w:val="24"/>
          <w:lang w:val="en-US"/>
        </w:rPr>
        <w:t xml:space="preserve"> the natural radionuclide</w:t>
      </w:r>
      <w:r w:rsidR="00462D2B" w:rsidRPr="00935022">
        <w:rPr>
          <w:color w:val="404040" w:themeColor="text1" w:themeTint="BF"/>
          <w:szCs w:val="24"/>
          <w:lang w:val="en-US"/>
        </w:rPr>
        <w:t>s levels,</w:t>
      </w:r>
      <w:r w:rsidR="00E11BF5">
        <w:rPr>
          <w:color w:val="404040" w:themeColor="text1" w:themeTint="BF"/>
          <w:szCs w:val="24"/>
          <w:lang w:val="en-US"/>
        </w:rPr>
        <w:t xml:space="preserve"> </w:t>
      </w:r>
      <w:r w:rsidR="00462D2B" w:rsidRPr="00935022">
        <w:rPr>
          <w:color w:val="404040" w:themeColor="text1" w:themeTint="BF"/>
          <w:szCs w:val="24"/>
          <w:lang w:val="en-US"/>
        </w:rPr>
        <w:t>evaluating radiation hazard indices and the effective dose to the public from soil samples in Bolikhamxay</w:t>
      </w:r>
      <w:r w:rsidR="00E11BF5">
        <w:rPr>
          <w:color w:val="404040" w:themeColor="text1" w:themeTint="BF"/>
          <w:szCs w:val="24"/>
          <w:lang w:val="en-US"/>
        </w:rPr>
        <w:t xml:space="preserve"> </w:t>
      </w:r>
      <w:r w:rsidR="00462D2B" w:rsidRPr="00935022">
        <w:rPr>
          <w:color w:val="404040" w:themeColor="text1" w:themeTint="BF"/>
          <w:szCs w:val="24"/>
          <w:lang w:val="en-US"/>
        </w:rPr>
        <w:t>Provine,Laos.</w:t>
      </w:r>
    </w:p>
    <w:p w:rsidR="003657AB" w:rsidRPr="0068020A" w:rsidRDefault="0068020A" w:rsidP="00010315">
      <w:pPr>
        <w:spacing w:before="120" w:after="120"/>
        <w:contextualSpacing/>
        <w:jc w:val="thaiDistribute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2. </w:t>
      </w:r>
      <w:r w:rsidR="003657AB" w:rsidRPr="0068020A">
        <w:rPr>
          <w:b/>
          <w:bCs/>
          <w:sz w:val="28"/>
          <w:szCs w:val="28"/>
          <w:lang w:val="en-US"/>
        </w:rPr>
        <w:t>Materials and Methods</w:t>
      </w:r>
    </w:p>
    <w:p w:rsidR="00E11BF5" w:rsidRDefault="0068020A" w:rsidP="00935022">
      <w:pPr>
        <w:spacing w:before="120" w:after="120"/>
        <w:ind w:left="142"/>
        <w:contextualSpacing/>
        <w:jc w:val="thaiDistribute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 xml:space="preserve">2.1. </w:t>
      </w:r>
      <w:r w:rsidR="00AD3FFA" w:rsidRPr="0068020A">
        <w:rPr>
          <w:b/>
          <w:bCs/>
          <w:szCs w:val="24"/>
          <w:lang w:val="en-US"/>
        </w:rPr>
        <w:t>Study Area</w:t>
      </w:r>
      <w:r w:rsidR="001E600B">
        <w:rPr>
          <w:b/>
          <w:bCs/>
          <w:szCs w:val="24"/>
          <w:lang w:val="en-US"/>
        </w:rPr>
        <w:t xml:space="preserve"> </w:t>
      </w:r>
    </w:p>
    <w:p w:rsidR="00CE1A64" w:rsidRDefault="00E11BF5" w:rsidP="00935022">
      <w:pPr>
        <w:spacing w:before="120" w:after="120"/>
        <w:ind w:left="142"/>
        <w:contextualSpacing/>
        <w:jc w:val="thaiDistribute"/>
        <w:rPr>
          <w:rFonts w:cs="Times New Roman"/>
          <w:color w:val="000000"/>
          <w:szCs w:val="24"/>
          <w:shd w:val="clear" w:color="auto" w:fill="FFFFFF"/>
          <w:lang w:val="en-US"/>
        </w:rPr>
      </w:pPr>
      <w:r>
        <w:rPr>
          <w:b/>
          <w:bCs/>
          <w:szCs w:val="24"/>
          <w:lang w:val="en-US"/>
        </w:rPr>
        <w:tab/>
      </w:r>
      <w:r w:rsidR="00AD3FFA" w:rsidRPr="005A4AAD">
        <w:rPr>
          <w:color w:val="404040" w:themeColor="text1" w:themeTint="BF"/>
          <w:szCs w:val="24"/>
          <w:lang w:val="en-US"/>
        </w:rPr>
        <w:t>Bolikhamxay</w:t>
      </w:r>
      <w:r w:rsidR="0052159F" w:rsidRPr="005A4AAD">
        <w:rPr>
          <w:rFonts w:cs="Times New Roman"/>
          <w:color w:val="404040" w:themeColor="text1" w:themeTint="BF"/>
          <w:szCs w:val="24"/>
          <w:shd w:val="clear" w:color="auto" w:fill="FFFFFF"/>
        </w:rPr>
        <w:t>is a province of</w:t>
      </w:r>
      <w:r w:rsidR="0052159F" w:rsidRPr="005A4AAD">
        <w:rPr>
          <w:rStyle w:val="apple-converted-space"/>
          <w:rFonts w:cs="Times New Roman"/>
          <w:color w:val="404040" w:themeColor="text1" w:themeTint="BF"/>
          <w:szCs w:val="24"/>
          <w:shd w:val="clear" w:color="auto" w:fill="FFFFFF"/>
        </w:rPr>
        <w:t> </w:t>
      </w:r>
      <w:r w:rsidR="0052159F" w:rsidRPr="005A4AAD">
        <w:rPr>
          <w:rFonts w:cs="Times New Roman"/>
          <w:color w:val="404040" w:themeColor="text1" w:themeTint="BF"/>
          <w:szCs w:val="24"/>
          <w:shd w:val="clear" w:color="auto" w:fill="FFFFFF"/>
        </w:rPr>
        <w:t>Laos, located in the middle of the country</w:t>
      </w:r>
      <w:r w:rsidR="00AD3FFA" w:rsidRPr="005A4AAD">
        <w:rPr>
          <w:color w:val="404040" w:themeColor="text1" w:themeTint="BF"/>
          <w:szCs w:val="24"/>
          <w:lang w:val="en-US"/>
        </w:rPr>
        <w:t xml:space="preserve"> on latitude 18.43</w:t>
      </w:r>
      <m:oMath>
        <m:sSup>
          <m:sSupPr>
            <m:ctrlPr>
              <w:rPr>
                <w:rFonts w:ascii="Cambria Math" w:hAnsi="Cambria Math"/>
                <w:i/>
                <w:color w:val="404040" w:themeColor="text1" w:themeTint="BF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404040" w:themeColor="text1" w:themeTint="BF"/>
                <w:szCs w:val="24"/>
                <w:lang w:val="en-US"/>
              </w:rPr>
              <m:t>63</m:t>
            </m:r>
          </m:e>
          <m:sup>
            <m:r>
              <w:rPr>
                <w:rFonts w:ascii="Cambria Math" w:hAnsi="Cambria Math"/>
                <w:color w:val="404040" w:themeColor="text1" w:themeTint="BF"/>
                <w:szCs w:val="24"/>
                <w:lang w:val="en-US"/>
              </w:rPr>
              <m:t>°</m:t>
            </m:r>
          </m:sup>
        </m:sSup>
        <m:r>
          <w:rPr>
            <w:rFonts w:ascii="Cambria Math" w:hAnsi="Cambria Math"/>
            <w:color w:val="404040" w:themeColor="text1" w:themeTint="BF"/>
            <w:szCs w:val="24"/>
            <w:lang w:val="en-US"/>
          </w:rPr>
          <m:t>N</m:t>
        </m:r>
      </m:oMath>
      <w:r w:rsidR="00AD3FFA" w:rsidRPr="005A4AAD">
        <w:rPr>
          <w:rFonts w:eastAsiaTheme="minorEastAsia"/>
          <w:color w:val="404040" w:themeColor="text1" w:themeTint="BF"/>
          <w:szCs w:val="24"/>
          <w:lang w:val="en-US"/>
        </w:rPr>
        <w:t xml:space="preserve"> and longitude </w:t>
      </w:r>
      <m:oMath>
        <m:r>
          <w:rPr>
            <w:rFonts w:ascii="Cambria Math" w:hAnsi="Cambria Math"/>
            <w:color w:val="404040" w:themeColor="text1" w:themeTint="BF"/>
            <w:szCs w:val="24"/>
            <w:lang w:val="en-US"/>
          </w:rPr>
          <m:t>104.47</m:t>
        </m:r>
        <m:sSup>
          <m:sSupPr>
            <m:ctrlPr>
              <w:rPr>
                <w:rFonts w:ascii="Cambria Math" w:hAnsi="Cambria Math"/>
                <w:i/>
                <w:color w:val="404040" w:themeColor="text1" w:themeTint="BF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color w:val="404040" w:themeColor="text1" w:themeTint="BF"/>
                <w:szCs w:val="24"/>
                <w:lang w:val="en-US"/>
              </w:rPr>
              <m:t>23</m:t>
            </m:r>
          </m:e>
          <m:sup>
            <m:r>
              <w:rPr>
                <w:rFonts w:ascii="Cambria Math" w:hAnsi="Cambria Math"/>
                <w:color w:val="404040" w:themeColor="text1" w:themeTint="BF"/>
                <w:szCs w:val="24"/>
                <w:lang w:val="en-US"/>
              </w:rPr>
              <m:t>°</m:t>
            </m:r>
          </m:sup>
        </m:sSup>
        <m:r>
          <w:rPr>
            <w:rFonts w:ascii="Cambria Math" w:hAnsi="Cambria Math"/>
            <w:color w:val="404040" w:themeColor="text1" w:themeTint="BF"/>
            <w:szCs w:val="24"/>
            <w:lang w:val="en-US"/>
          </w:rPr>
          <m:t>E</m:t>
        </m:r>
      </m:oMath>
      <w:r w:rsidR="00565F96">
        <w:rPr>
          <w:rFonts w:eastAsiaTheme="minorEastAsia"/>
          <w:color w:val="404040" w:themeColor="text1" w:themeTint="BF"/>
          <w:szCs w:val="24"/>
          <w:lang w:val="en-US"/>
        </w:rPr>
        <w:t xml:space="preserve"> </w:t>
      </w:r>
      <w:r w:rsidR="00565F96">
        <w:rPr>
          <w:rFonts w:cs="Times New Roman"/>
          <w:color w:val="404040" w:themeColor="text1" w:themeTint="BF"/>
          <w:szCs w:val="24"/>
          <w:highlight w:val="yellow"/>
          <w:shd w:val="clear" w:color="auto" w:fill="FFFFFF"/>
          <w:lang w:val="en-US"/>
        </w:rPr>
        <w:t>as shown in Figure 1</w:t>
      </w:r>
      <w:r w:rsidR="003D3B3B">
        <w:rPr>
          <w:rFonts w:eastAsiaTheme="minorEastAsia"/>
          <w:color w:val="404040" w:themeColor="text1" w:themeTint="BF"/>
          <w:szCs w:val="24"/>
          <w:lang w:val="en-US"/>
        </w:rPr>
        <w:t xml:space="preserve">. </w:t>
      </w:r>
      <w:r w:rsidR="0052159F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 xml:space="preserve"> </w:t>
      </w:r>
      <w:r w:rsidR="00AD3FFA" w:rsidRPr="005A4AAD">
        <w:rPr>
          <w:rFonts w:eastAsiaTheme="minorEastAsia"/>
          <w:color w:val="404040" w:themeColor="text1" w:themeTint="BF"/>
          <w:szCs w:val="24"/>
          <w:lang w:val="en-US"/>
        </w:rPr>
        <w:t xml:space="preserve">The altitude ranges from 140- 1,588 </w:t>
      </w:r>
      <w:r w:rsidR="003D3B3B">
        <w:rPr>
          <w:rFonts w:eastAsiaTheme="minorEastAsia"/>
          <w:color w:val="404040" w:themeColor="text1" w:themeTint="BF"/>
          <w:szCs w:val="24"/>
          <w:lang w:val="en-US"/>
        </w:rPr>
        <w:t xml:space="preserve"> </w:t>
      </w:r>
      <w:r w:rsidR="00AD3FFA" w:rsidRPr="005A4AAD">
        <w:rPr>
          <w:rFonts w:eastAsiaTheme="minorEastAsia"/>
          <w:color w:val="404040" w:themeColor="text1" w:themeTint="BF"/>
          <w:szCs w:val="24"/>
          <w:lang w:val="en-US"/>
        </w:rPr>
        <w:t>metres</w:t>
      </w:r>
      <w:r w:rsidR="00AD3FFA" w:rsidRPr="005A4AAD">
        <w:rPr>
          <w:rFonts w:cs="Times New Roman"/>
          <w:color w:val="404040" w:themeColor="text1" w:themeTint="BF"/>
          <w:szCs w:val="24"/>
          <w:shd w:val="clear" w:color="auto" w:fill="FFFFFF"/>
        </w:rPr>
        <w:t xml:space="preserve"> an area of 15,977 square kilometers</w:t>
      </w:r>
      <w:r w:rsidR="00A8699A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 xml:space="preserve">. </w:t>
      </w:r>
      <w:r w:rsidR="00AD3FFA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 xml:space="preserve">The </w:t>
      </w:r>
      <w:r w:rsidR="00CF3840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>p</w:t>
      </w:r>
      <w:r w:rsidR="00AD3FFA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>opulation</w:t>
      </w:r>
      <w:r w:rsidR="00CF3840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 xml:space="preserve"> of</w:t>
      </w:r>
      <w:r w:rsidR="00AD3FFA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 xml:space="preserve"> 190.000</w:t>
      </w:r>
      <w:r w:rsidR="00AD3FFA" w:rsidRPr="005A4AAD">
        <w:rPr>
          <w:rFonts w:cs="Times New Roman"/>
          <w:color w:val="404040" w:themeColor="text1" w:themeTint="BF"/>
          <w:szCs w:val="24"/>
          <w:shd w:val="clear" w:color="auto" w:fill="FFFFFF"/>
        </w:rPr>
        <w:t>, rich of culture and nature resource with 3 national protected areas: PhouKhaoKhouay, NamKaDing and a part of Theun-Nakai. 'Pakxan' the capital</w:t>
      </w:r>
      <w:r w:rsidR="00CF3840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 xml:space="preserve"> of </w:t>
      </w:r>
      <w:r w:rsidR="00CF3840" w:rsidRPr="005A4AAD">
        <w:rPr>
          <w:color w:val="404040" w:themeColor="text1" w:themeTint="BF"/>
          <w:szCs w:val="24"/>
          <w:lang w:val="en-US"/>
        </w:rPr>
        <w:t>Bolikhamxay</w:t>
      </w:r>
      <w:r w:rsidR="00AD3FFA" w:rsidRPr="005A4AAD">
        <w:rPr>
          <w:rFonts w:cs="Times New Roman"/>
          <w:color w:val="404040" w:themeColor="text1" w:themeTint="BF"/>
          <w:szCs w:val="24"/>
          <w:shd w:val="clear" w:color="auto" w:fill="FFFFFF"/>
        </w:rPr>
        <w:t xml:space="preserve"> lies some 150km by South 13 R</w:t>
      </w:r>
      <w:r w:rsidR="00CF3840" w:rsidRPr="005A4AAD">
        <w:rPr>
          <w:rFonts w:cs="Times New Roman"/>
          <w:color w:val="404040" w:themeColor="text1" w:themeTint="BF"/>
          <w:szCs w:val="24"/>
          <w:shd w:val="clear" w:color="auto" w:fill="FFFFFF"/>
          <w:lang w:val="en-US"/>
        </w:rPr>
        <w:t>oa</w:t>
      </w:r>
      <w:r w:rsidR="00AD3FFA" w:rsidRPr="005A4AAD">
        <w:rPr>
          <w:rFonts w:cs="Times New Roman"/>
          <w:color w:val="404040" w:themeColor="text1" w:themeTint="BF"/>
          <w:szCs w:val="24"/>
          <w:shd w:val="clear" w:color="auto" w:fill="FFFFFF"/>
        </w:rPr>
        <w:t>d from Vient</w:t>
      </w:r>
      <w:r w:rsidR="00AD3FFA" w:rsidRPr="000B4D97">
        <w:rPr>
          <w:rFonts w:cs="Times New Roman"/>
          <w:color w:val="000000"/>
          <w:szCs w:val="24"/>
          <w:shd w:val="clear" w:color="auto" w:fill="FFFFFF"/>
        </w:rPr>
        <w:t>iane</w:t>
      </w:r>
      <w:r w:rsidR="0052159F">
        <w:rPr>
          <w:rFonts w:cs="Times New Roman"/>
          <w:color w:val="000000"/>
          <w:szCs w:val="24"/>
          <w:shd w:val="clear" w:color="auto" w:fill="FFFFFF"/>
          <w:lang w:val="en-US"/>
        </w:rPr>
        <w:t>.</w:t>
      </w:r>
    </w:p>
    <w:p w:rsidR="00C90045" w:rsidRDefault="00C90045" w:rsidP="00C90045">
      <w:pPr>
        <w:spacing w:before="120" w:after="120"/>
        <w:jc w:val="thaiDistribute"/>
        <w:rPr>
          <w:b/>
          <w:bCs/>
          <w:color w:val="0D0D0D" w:themeColor="text1" w:themeTint="F2"/>
          <w:szCs w:val="24"/>
          <w:lang w:val="en-US"/>
        </w:rPr>
      </w:pPr>
      <w:r>
        <w:rPr>
          <w:b/>
          <w:bCs/>
          <w:color w:val="0D0D0D" w:themeColor="text1" w:themeTint="F2"/>
          <w:szCs w:val="24"/>
          <w:lang w:val="en-US"/>
        </w:rPr>
        <w:t>Preparation and processing of soil samples</w:t>
      </w:r>
    </w:p>
    <w:p w:rsidR="00C90045" w:rsidRDefault="00C90045" w:rsidP="00935022">
      <w:pPr>
        <w:spacing w:before="120" w:after="120"/>
        <w:ind w:left="142"/>
        <w:contextualSpacing/>
        <w:jc w:val="thaiDistribute"/>
        <w:rPr>
          <w:rFonts w:cs="Times New Roman"/>
          <w:color w:val="000000"/>
          <w:szCs w:val="24"/>
          <w:shd w:val="clear" w:color="auto" w:fill="FFFFFF"/>
          <w:lang w:val="en-US"/>
        </w:rPr>
      </w:pPr>
    </w:p>
    <w:p w:rsidR="00565F96" w:rsidRPr="00935022" w:rsidRDefault="00565F96" w:rsidP="00935022">
      <w:pPr>
        <w:spacing w:before="120" w:after="120"/>
        <w:ind w:left="142"/>
        <w:contextualSpacing/>
        <w:jc w:val="thaiDistribute"/>
        <w:rPr>
          <w:b/>
          <w:bCs/>
          <w:szCs w:val="24"/>
          <w:lang w:val="en-US"/>
        </w:rPr>
      </w:pPr>
    </w:p>
    <w:p w:rsidR="00565F96" w:rsidRDefault="00565F96" w:rsidP="005B2206">
      <w:pPr>
        <w:spacing w:before="120" w:after="120"/>
        <w:jc w:val="thaiDistribute"/>
        <w:rPr>
          <w:rFonts w:cs="Times New Roman"/>
          <w:color w:val="000000"/>
          <w:szCs w:val="24"/>
          <w:shd w:val="clear" w:color="auto" w:fill="FFFFFF"/>
          <w:lang w:val="en-US"/>
        </w:rPr>
      </w:pPr>
    </w:p>
    <w:p w:rsidR="00565F96" w:rsidRDefault="00565F96" w:rsidP="005B2206">
      <w:pPr>
        <w:spacing w:before="120" w:after="120"/>
        <w:jc w:val="thaiDistribute"/>
        <w:rPr>
          <w:rFonts w:cs="Times New Roman"/>
          <w:color w:val="000000"/>
          <w:szCs w:val="24"/>
          <w:shd w:val="clear" w:color="auto" w:fill="FFFFFF"/>
          <w:lang w:val="en-US"/>
        </w:rPr>
      </w:pPr>
    </w:p>
    <w:p w:rsidR="00565F96" w:rsidRDefault="00565F96" w:rsidP="00565F96">
      <w:pPr>
        <w:pStyle w:val="ListParagraph"/>
        <w:ind w:left="0" w:firstLine="426"/>
        <w:jc w:val="center"/>
        <w:rPr>
          <w:rFonts w:cs="Times New Roman"/>
          <w:color w:val="000000"/>
          <w:szCs w:val="24"/>
          <w:shd w:val="clear" w:color="auto" w:fill="FFFFFF"/>
          <w:lang w:val="en-US"/>
        </w:rPr>
      </w:pPr>
      <w:r>
        <w:rPr>
          <w:rFonts w:cs="Times New Roman"/>
          <w:color w:val="000000"/>
          <w:szCs w:val="24"/>
          <w:shd w:val="clear" w:color="auto" w:fill="FFFFFF"/>
          <w:lang w:val="en-US"/>
        </w:rPr>
        <w:t xml:space="preserve">  </w:t>
      </w:r>
      <w:r>
        <w:rPr>
          <w:rFonts w:cs="Times New Roman"/>
          <w:noProof/>
          <w:color w:val="000000"/>
          <w:szCs w:val="24"/>
          <w:shd w:val="clear" w:color="auto" w:fill="FFFFFF"/>
          <w:lang w:eastAsia="vi-VN"/>
        </w:rPr>
        <w:drawing>
          <wp:inline distT="0" distB="0" distL="0" distR="0">
            <wp:extent cx="5934710" cy="3200400"/>
            <wp:effectExtent l="19050" t="0" r="8890" b="0"/>
            <wp:docPr id="1" name="Picture 1" descr="Bolikhamxay Map_Update_21_6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ikhamxay Map_Update_21_6_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96" w:rsidRPr="00565F96" w:rsidRDefault="00565F96" w:rsidP="00565F96">
      <w:pPr>
        <w:pStyle w:val="ListParagraph"/>
        <w:spacing w:before="120"/>
        <w:ind w:left="0" w:firstLine="425"/>
        <w:jc w:val="center"/>
        <w:rPr>
          <w:szCs w:val="24"/>
          <w:lang w:val="en-US"/>
        </w:rPr>
      </w:pPr>
      <w:r>
        <w:rPr>
          <w:b/>
          <w:szCs w:val="24"/>
          <w:lang w:val="en-US"/>
        </w:rPr>
        <w:t xml:space="preserve">Figure.1. </w:t>
      </w:r>
      <w:r>
        <w:rPr>
          <w:szCs w:val="24"/>
          <w:lang w:val="en-US"/>
        </w:rPr>
        <w:t>Sampling location in Bolikhamxay Province, Laos</w:t>
      </w:r>
    </w:p>
    <w:p w:rsidR="003657AB" w:rsidRPr="0068020A" w:rsidRDefault="0068020A" w:rsidP="005B2206">
      <w:pPr>
        <w:spacing w:before="120" w:after="120"/>
        <w:jc w:val="thaiDistribute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2.2.</w:t>
      </w:r>
      <w:r w:rsidR="00FC166D">
        <w:rPr>
          <w:b/>
          <w:bCs/>
          <w:szCs w:val="24"/>
          <w:lang w:val="en-US"/>
        </w:rPr>
        <w:t xml:space="preserve"> </w:t>
      </w:r>
      <w:r w:rsidR="00FC166D" w:rsidRPr="00FC166D">
        <w:rPr>
          <w:b/>
          <w:bCs/>
          <w:color w:val="FF0000"/>
          <w:szCs w:val="24"/>
          <w:lang w:val="en-US"/>
        </w:rPr>
        <w:t>Preparation</w:t>
      </w:r>
      <w:r w:rsidR="00FC166D">
        <w:rPr>
          <w:b/>
          <w:bCs/>
          <w:szCs w:val="24"/>
          <w:lang w:val="en-US"/>
        </w:rPr>
        <w:t xml:space="preserve"> </w:t>
      </w:r>
      <w:r w:rsidR="00FC166D" w:rsidRPr="00FC166D">
        <w:rPr>
          <w:b/>
          <w:bCs/>
          <w:color w:val="FF0000"/>
          <w:szCs w:val="24"/>
          <w:lang w:val="en-US"/>
        </w:rPr>
        <w:t>and</w:t>
      </w:r>
      <w:r w:rsidRPr="00FC166D">
        <w:rPr>
          <w:b/>
          <w:bCs/>
          <w:color w:val="FF0000"/>
          <w:szCs w:val="24"/>
          <w:lang w:val="en-US"/>
        </w:rPr>
        <w:t xml:space="preserve"> </w:t>
      </w:r>
      <w:r w:rsidR="00FC166D" w:rsidRPr="00FC166D">
        <w:rPr>
          <w:b/>
          <w:bCs/>
          <w:color w:val="FF0000"/>
          <w:szCs w:val="24"/>
          <w:lang w:val="en-US"/>
        </w:rPr>
        <w:t>processing of soil s</w:t>
      </w:r>
      <w:r w:rsidR="003657AB" w:rsidRPr="00FC166D">
        <w:rPr>
          <w:b/>
          <w:bCs/>
          <w:color w:val="FF0000"/>
          <w:szCs w:val="24"/>
          <w:lang w:val="en-US"/>
        </w:rPr>
        <w:t>amples</w:t>
      </w:r>
    </w:p>
    <w:p w:rsidR="00096EF9" w:rsidRPr="005A4AAD" w:rsidRDefault="003657AB" w:rsidP="005B2206">
      <w:pPr>
        <w:pStyle w:val="ListParagraph"/>
        <w:spacing w:before="120" w:after="120"/>
        <w:ind w:left="0" w:firstLine="720"/>
        <w:contextualSpacing w:val="0"/>
        <w:jc w:val="thaiDistribute"/>
        <w:rPr>
          <w:color w:val="262626" w:themeColor="text1" w:themeTint="D9"/>
          <w:szCs w:val="24"/>
          <w:lang w:val="en-US"/>
        </w:rPr>
      </w:pPr>
      <w:r w:rsidRPr="005A4AAD">
        <w:rPr>
          <w:color w:val="262626" w:themeColor="text1" w:themeTint="D9"/>
          <w:szCs w:val="24"/>
          <w:lang w:val="en-US"/>
        </w:rPr>
        <w:t>Soil samples were collected from 33 different locations in Bolikhamxay</w:t>
      </w:r>
      <w:r w:rsidR="00A4499F">
        <w:rPr>
          <w:color w:val="262626" w:themeColor="text1" w:themeTint="D9"/>
          <w:szCs w:val="24"/>
          <w:lang w:val="en-US"/>
        </w:rPr>
        <w:t xml:space="preserve"> </w:t>
      </w:r>
      <w:r w:rsidR="00A4499F" w:rsidRPr="00A4499F">
        <w:rPr>
          <w:color w:val="FF0000"/>
          <w:szCs w:val="24"/>
          <w:lang w:val="en-US"/>
        </w:rPr>
        <w:t>p</w:t>
      </w:r>
      <w:r w:rsidRPr="00A4499F">
        <w:rPr>
          <w:color w:val="FF0000"/>
          <w:szCs w:val="24"/>
          <w:lang w:val="en-US"/>
        </w:rPr>
        <w:t>rovin</w:t>
      </w:r>
      <w:r w:rsidR="00A4499F">
        <w:rPr>
          <w:color w:val="FF0000"/>
          <w:szCs w:val="24"/>
          <w:lang w:val="en-US"/>
        </w:rPr>
        <w:t>c</w:t>
      </w:r>
      <w:r w:rsidRPr="00A4499F">
        <w:rPr>
          <w:color w:val="FF0000"/>
          <w:szCs w:val="24"/>
          <w:lang w:val="en-US"/>
        </w:rPr>
        <w:t xml:space="preserve">e </w:t>
      </w:r>
      <w:r w:rsidRPr="005A4AAD">
        <w:rPr>
          <w:color w:val="262626" w:themeColor="text1" w:themeTint="D9"/>
          <w:szCs w:val="24"/>
          <w:lang w:val="en-US"/>
        </w:rPr>
        <w:t xml:space="preserve">that </w:t>
      </w:r>
      <w:r w:rsidR="00A4499F">
        <w:rPr>
          <w:color w:val="262626" w:themeColor="text1" w:themeTint="D9"/>
          <w:szCs w:val="24"/>
          <w:lang w:val="en-US"/>
        </w:rPr>
        <w:t xml:space="preserve"> </w:t>
      </w:r>
      <w:r w:rsidR="00A4499F" w:rsidRPr="00660F12">
        <w:rPr>
          <w:color w:val="595959" w:themeColor="text1" w:themeTint="A6"/>
          <w:szCs w:val="24"/>
          <w:lang w:val="en-US"/>
        </w:rPr>
        <w:t>are</w:t>
      </w:r>
      <w:r w:rsidRPr="005A4AAD">
        <w:rPr>
          <w:color w:val="262626" w:themeColor="text1" w:themeTint="D9"/>
          <w:szCs w:val="24"/>
          <w:lang w:val="en-US"/>
        </w:rPr>
        <w:t xml:space="preserve"> close to the populated areas and a</w:t>
      </w:r>
      <w:r w:rsidR="001C025F" w:rsidRPr="005A4AAD">
        <w:rPr>
          <w:color w:val="262626" w:themeColor="text1" w:themeTint="D9"/>
          <w:szCs w:val="24"/>
          <w:lang w:val="en-US"/>
        </w:rPr>
        <w:t>g</w:t>
      </w:r>
      <w:r w:rsidRPr="005A4AAD">
        <w:rPr>
          <w:color w:val="262626" w:themeColor="text1" w:themeTint="D9"/>
          <w:szCs w:val="24"/>
          <w:lang w:val="en-US"/>
        </w:rPr>
        <w:t>riculture field.</w:t>
      </w:r>
      <w:r w:rsidR="00A4499F">
        <w:rPr>
          <w:color w:val="262626" w:themeColor="text1" w:themeTint="D9"/>
          <w:szCs w:val="24"/>
          <w:lang w:val="en-US"/>
        </w:rPr>
        <w:t xml:space="preserve"> </w:t>
      </w:r>
      <w:r w:rsidRPr="005A4AAD">
        <w:rPr>
          <w:color w:val="262626" w:themeColor="text1" w:themeTint="D9"/>
          <w:szCs w:val="24"/>
          <w:lang w:val="en-US"/>
        </w:rPr>
        <w:t>At every sampling site, the soil  samples were collected from the surface layer</w:t>
      </w:r>
      <w:r w:rsidR="00753AAC" w:rsidRPr="005A4AAD">
        <w:rPr>
          <w:color w:val="262626" w:themeColor="text1" w:themeTint="D9"/>
          <w:szCs w:val="24"/>
          <w:lang w:val="en-US"/>
        </w:rPr>
        <w:t>s</w:t>
      </w:r>
      <w:r w:rsidRPr="005A4AAD">
        <w:rPr>
          <w:color w:val="262626" w:themeColor="text1" w:themeTint="D9"/>
          <w:szCs w:val="24"/>
          <w:lang w:val="en-US"/>
        </w:rPr>
        <w:t xml:space="preserve"> (5</w:t>
      </w:r>
      <w:r w:rsidRPr="005A4AAD">
        <w:rPr>
          <w:rFonts w:ascii="MS Mincho" w:eastAsia="MS Mincho" w:hAnsi="MS Mincho" w:cs="MS Mincho" w:hint="eastAsia"/>
          <w:color w:val="262626" w:themeColor="text1" w:themeTint="D9"/>
          <w:szCs w:val="24"/>
          <w:lang w:val="en-US"/>
        </w:rPr>
        <w:t>‑</w:t>
      </w:r>
      <w:r w:rsidRPr="005A4AAD">
        <w:rPr>
          <w:color w:val="262626" w:themeColor="text1" w:themeTint="D9"/>
          <w:szCs w:val="24"/>
          <w:lang w:val="en-US"/>
        </w:rPr>
        <w:t>15 cm depth) using a spade.</w:t>
      </w:r>
      <w:r w:rsidR="00565F96">
        <w:rPr>
          <w:strike/>
          <w:color w:val="262626" w:themeColor="text1" w:themeTint="D9"/>
          <w:szCs w:val="24"/>
          <w:lang w:val="en-US"/>
        </w:rPr>
        <w:t xml:space="preserve"> </w:t>
      </w:r>
      <w:r w:rsidR="004A4A8C">
        <w:rPr>
          <w:color w:val="262626" w:themeColor="text1" w:themeTint="D9"/>
          <w:szCs w:val="24"/>
          <w:lang w:val="en-US"/>
        </w:rPr>
        <w:t>O</w:t>
      </w:r>
      <w:r w:rsidRPr="005A4AAD">
        <w:rPr>
          <w:color w:val="262626" w:themeColor="text1" w:themeTint="D9"/>
          <w:szCs w:val="24"/>
          <w:lang w:val="en-US"/>
        </w:rPr>
        <w:t>rganic materials,</w:t>
      </w:r>
      <w:r w:rsidR="00B22B3E">
        <w:rPr>
          <w:color w:val="262626" w:themeColor="text1" w:themeTint="D9"/>
          <w:szCs w:val="24"/>
          <w:lang w:val="en-US"/>
        </w:rPr>
        <w:t xml:space="preserve"> </w:t>
      </w:r>
      <w:r w:rsidRPr="005A4AAD">
        <w:rPr>
          <w:color w:val="262626" w:themeColor="text1" w:themeTint="D9"/>
          <w:szCs w:val="24"/>
          <w:lang w:val="en-US"/>
        </w:rPr>
        <w:t>piece of stones</w:t>
      </w:r>
      <w:r w:rsidR="004A4A8C">
        <w:rPr>
          <w:color w:val="262626" w:themeColor="text1" w:themeTint="D9"/>
          <w:szCs w:val="24"/>
          <w:lang w:val="en-US"/>
        </w:rPr>
        <w:t xml:space="preserve"> </w:t>
      </w:r>
      <w:r w:rsidR="004A4A8C" w:rsidRPr="00660F12">
        <w:rPr>
          <w:color w:val="404040" w:themeColor="text1" w:themeTint="BF"/>
          <w:szCs w:val="24"/>
          <w:lang w:val="en-US"/>
        </w:rPr>
        <w:t>in samples were romoved</w:t>
      </w:r>
      <w:r w:rsidRPr="005A4AAD">
        <w:rPr>
          <w:color w:val="262626" w:themeColor="text1" w:themeTint="D9"/>
          <w:szCs w:val="24"/>
          <w:lang w:val="en-US"/>
        </w:rPr>
        <w:t>. At the labo</w:t>
      </w:r>
      <w:r w:rsidR="001C025F" w:rsidRPr="005A4AAD">
        <w:rPr>
          <w:color w:val="262626" w:themeColor="text1" w:themeTint="D9"/>
          <w:szCs w:val="24"/>
          <w:lang w:val="en-US"/>
        </w:rPr>
        <w:t>r</w:t>
      </w:r>
      <w:r w:rsidRPr="005A4AAD">
        <w:rPr>
          <w:color w:val="262626" w:themeColor="text1" w:themeTint="D9"/>
          <w:szCs w:val="24"/>
          <w:lang w:val="en-US"/>
        </w:rPr>
        <w:t xml:space="preserve">atory,the samples were dried </w:t>
      </w:r>
      <w:r w:rsidR="00096EF9" w:rsidRPr="005A4AAD">
        <w:rPr>
          <w:color w:val="262626" w:themeColor="text1" w:themeTint="D9"/>
          <w:szCs w:val="24"/>
          <w:lang w:val="en-US"/>
        </w:rPr>
        <w:t>in an oven at about 1</w:t>
      </w:r>
      <w:r w:rsidRPr="005A4AAD">
        <w:rPr>
          <w:color w:val="262626" w:themeColor="text1" w:themeTint="D9"/>
          <w:szCs w:val="24"/>
          <w:lang w:val="en-US"/>
        </w:rPr>
        <w:t>10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Pr="005A4AAD">
        <w:rPr>
          <w:color w:val="262626" w:themeColor="text1" w:themeTint="D9"/>
          <w:szCs w:val="24"/>
          <w:lang w:val="en-US"/>
        </w:rPr>
        <w:t>°C for 6 hours.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Pr="005A4AAD">
        <w:rPr>
          <w:color w:val="262626" w:themeColor="text1" w:themeTint="D9"/>
          <w:szCs w:val="24"/>
          <w:lang w:val="en-US"/>
        </w:rPr>
        <w:t>After drying,</w:t>
      </w:r>
      <w:r w:rsidR="001C025F" w:rsidRPr="005A4AAD">
        <w:rPr>
          <w:color w:val="262626" w:themeColor="text1" w:themeTint="D9"/>
          <w:szCs w:val="24"/>
          <w:lang w:val="en-US"/>
        </w:rPr>
        <w:t xml:space="preserve"> the samples were crushed and s</w:t>
      </w:r>
      <w:r w:rsidRPr="005A4AAD">
        <w:rPr>
          <w:color w:val="262626" w:themeColor="text1" w:themeTint="D9"/>
          <w:szCs w:val="24"/>
          <w:lang w:val="en-US"/>
        </w:rPr>
        <w:t>e</w:t>
      </w:r>
      <w:r w:rsidR="001C025F" w:rsidRPr="005A4AAD">
        <w:rPr>
          <w:color w:val="262626" w:themeColor="text1" w:themeTint="D9"/>
          <w:szCs w:val="24"/>
          <w:lang w:val="en-US"/>
        </w:rPr>
        <w:t>r</w:t>
      </w:r>
      <w:r w:rsidRPr="005A4AAD">
        <w:rPr>
          <w:color w:val="262626" w:themeColor="text1" w:themeTint="D9"/>
          <w:szCs w:val="24"/>
          <w:lang w:val="en-US"/>
        </w:rPr>
        <w:t>ved with a mesh having holes each of diameter of 0.2 mm.</w:t>
      </w:r>
    </w:p>
    <w:p w:rsidR="0051217E" w:rsidRPr="00096EF9" w:rsidRDefault="00096EF9" w:rsidP="005B2206">
      <w:pPr>
        <w:pStyle w:val="ListParagraph"/>
        <w:spacing w:before="120" w:after="120"/>
        <w:ind w:left="0" w:firstLine="720"/>
        <w:contextualSpacing w:val="0"/>
        <w:jc w:val="thaiDistribute"/>
        <w:rPr>
          <w:szCs w:val="24"/>
          <w:lang w:val="en-US"/>
        </w:rPr>
      </w:pPr>
      <w:r w:rsidRPr="005A4AAD">
        <w:rPr>
          <w:color w:val="262626" w:themeColor="text1" w:themeTint="D9"/>
          <w:szCs w:val="24"/>
          <w:lang w:val="en-US"/>
        </w:rPr>
        <w:t>Afterward, the homogenized samples were weighed and each sample was packed in a cylindrical plastic container o</w:t>
      </w:r>
      <w:r w:rsidR="00717F4B" w:rsidRPr="005A4AAD">
        <w:rPr>
          <w:color w:val="262626" w:themeColor="text1" w:themeTint="D9"/>
          <w:szCs w:val="24"/>
          <w:lang w:val="en-US"/>
        </w:rPr>
        <w:t>f height</w:t>
      </w:r>
      <w:r w:rsidR="004A4A8C">
        <w:rPr>
          <w:color w:val="262626" w:themeColor="text1" w:themeTint="D9"/>
          <w:szCs w:val="24"/>
          <w:lang w:val="en-US"/>
        </w:rPr>
        <w:t xml:space="preserve"> </w:t>
      </w:r>
      <w:r w:rsidR="00717F4B" w:rsidRPr="005A4AAD">
        <w:rPr>
          <w:color w:val="262626" w:themeColor="text1" w:themeTint="D9"/>
          <w:szCs w:val="24"/>
          <w:lang w:val="en-US"/>
        </w:rPr>
        <w:t>3 cm and 7.0</w:t>
      </w:r>
      <w:r w:rsidR="00753AAC" w:rsidRPr="005A4AAD">
        <w:rPr>
          <w:color w:val="262626" w:themeColor="text1" w:themeTint="D9"/>
          <w:szCs w:val="24"/>
          <w:lang w:val="en-US"/>
        </w:rPr>
        <w:t xml:space="preserve"> cm diameter. </w:t>
      </w:r>
      <w:r w:rsidRPr="005A4AAD">
        <w:rPr>
          <w:color w:val="262626" w:themeColor="text1" w:themeTint="D9"/>
          <w:szCs w:val="24"/>
          <w:lang w:val="en-US"/>
        </w:rPr>
        <w:t>These were then stored</w:t>
      </w:r>
      <w:r w:rsidR="00FC166D">
        <w:rPr>
          <w:color w:val="262626" w:themeColor="text1" w:themeTint="D9"/>
          <w:szCs w:val="24"/>
          <w:lang w:val="en-US"/>
        </w:rPr>
        <w:t xml:space="preserve"> </w:t>
      </w:r>
      <w:r w:rsidR="0052159F" w:rsidRPr="005A4AAD">
        <w:rPr>
          <w:rFonts w:cs="Times New Roman"/>
          <w:color w:val="262626" w:themeColor="text1" w:themeTint="D9"/>
          <w:szCs w:val="24"/>
          <w:lang w:val="en-US"/>
        </w:rPr>
        <w:t xml:space="preserve">for </w:t>
      </w:r>
      <w:r w:rsidR="0052159F" w:rsidRPr="005A4AAD">
        <w:rPr>
          <w:rFonts w:cs="Times New Roman"/>
          <w:color w:val="262626" w:themeColor="text1" w:themeTint="D9"/>
          <w:szCs w:val="24"/>
          <w:shd w:val="clear" w:color="auto" w:fill="FFFFFF"/>
        </w:rPr>
        <w:t>at least one month to ensure secular equilibrium between the parent radionuclides and their respective daughters.</w:t>
      </w:r>
    </w:p>
    <w:p w:rsidR="000B4D97" w:rsidRPr="00F6697A" w:rsidRDefault="00096EF9" w:rsidP="005B2206">
      <w:pPr>
        <w:pStyle w:val="ListParagraph"/>
        <w:spacing w:before="120" w:after="120"/>
        <w:ind w:hanging="720"/>
        <w:contextualSpacing w:val="0"/>
        <w:jc w:val="thaiDistribute"/>
        <w:rPr>
          <w:b/>
          <w:bCs/>
          <w:szCs w:val="24"/>
          <w:lang w:val="en-US"/>
        </w:rPr>
      </w:pPr>
      <w:r w:rsidRPr="0068020A">
        <w:rPr>
          <w:b/>
          <w:szCs w:val="24"/>
          <w:lang w:val="en-US"/>
        </w:rPr>
        <w:t>2</w:t>
      </w:r>
      <w:r w:rsidR="0051217E" w:rsidRPr="0068020A">
        <w:rPr>
          <w:b/>
          <w:szCs w:val="24"/>
          <w:lang w:val="en-US"/>
        </w:rPr>
        <w:t>.</w:t>
      </w:r>
      <w:r w:rsidR="00AD3FFA" w:rsidRPr="0068020A">
        <w:rPr>
          <w:b/>
          <w:szCs w:val="24"/>
          <w:lang w:val="en-US"/>
        </w:rPr>
        <w:t>3</w:t>
      </w:r>
      <w:r w:rsidR="0068020A" w:rsidRPr="0068020A">
        <w:rPr>
          <w:b/>
          <w:szCs w:val="24"/>
          <w:lang w:val="en-US"/>
        </w:rPr>
        <w:t>.</w:t>
      </w:r>
      <w:r w:rsidR="00BE18DC" w:rsidRPr="000B4D97">
        <w:rPr>
          <w:b/>
          <w:bCs/>
          <w:szCs w:val="24"/>
          <w:lang w:val="en-US"/>
        </w:rPr>
        <w:t xml:space="preserve">Experimental </w:t>
      </w:r>
      <w:r w:rsidR="00F6697A">
        <w:rPr>
          <w:b/>
          <w:bCs/>
          <w:szCs w:val="24"/>
          <w:lang w:val="en-US"/>
        </w:rPr>
        <w:t xml:space="preserve">determination </w:t>
      </w:r>
      <w:r w:rsidR="00F6697A" w:rsidRPr="000B4D97">
        <w:rPr>
          <w:b/>
          <w:bCs/>
          <w:szCs w:val="24"/>
          <w:lang w:val="en-US"/>
        </w:rPr>
        <w:t>of rad</w:t>
      </w:r>
      <w:r w:rsidR="00F6697A">
        <w:rPr>
          <w:b/>
          <w:bCs/>
          <w:szCs w:val="24"/>
          <w:lang w:val="en-US"/>
        </w:rPr>
        <w:t>iation hazards</w:t>
      </w:r>
    </w:p>
    <w:p w:rsidR="000B4D97" w:rsidRPr="0068020A" w:rsidRDefault="00096EF9" w:rsidP="005B2206">
      <w:pPr>
        <w:pStyle w:val="ListParagraph"/>
        <w:spacing w:before="120" w:after="120"/>
        <w:ind w:left="0"/>
        <w:contextualSpacing w:val="0"/>
        <w:jc w:val="thaiDistribute"/>
        <w:rPr>
          <w:b/>
          <w:bCs/>
          <w:i/>
          <w:szCs w:val="24"/>
          <w:lang w:val="en-US"/>
        </w:rPr>
      </w:pPr>
      <w:r w:rsidRPr="0068020A">
        <w:rPr>
          <w:b/>
          <w:i/>
          <w:szCs w:val="24"/>
          <w:lang w:val="en-US" w:bidi="lo-LA"/>
        </w:rPr>
        <w:t>2</w:t>
      </w:r>
      <w:r w:rsidR="000B4D97" w:rsidRPr="0068020A">
        <w:rPr>
          <w:b/>
          <w:i/>
          <w:szCs w:val="24"/>
          <w:lang w:val="en-US" w:bidi="lo-LA"/>
        </w:rPr>
        <w:t>.</w:t>
      </w:r>
      <w:r w:rsidR="00AD3FFA" w:rsidRPr="0068020A">
        <w:rPr>
          <w:b/>
          <w:i/>
          <w:szCs w:val="24"/>
          <w:lang w:val="en-US" w:bidi="lo-LA"/>
        </w:rPr>
        <w:t>3</w:t>
      </w:r>
      <w:r w:rsidR="00F6697A" w:rsidRPr="0068020A">
        <w:rPr>
          <w:b/>
          <w:i/>
          <w:szCs w:val="24"/>
          <w:lang w:val="en-US" w:bidi="lo-LA"/>
        </w:rPr>
        <w:t>.1</w:t>
      </w:r>
      <w:r w:rsidR="00753AAC" w:rsidRPr="0068020A">
        <w:rPr>
          <w:b/>
          <w:i/>
          <w:szCs w:val="24"/>
          <w:lang w:val="en-US" w:bidi="lo-LA"/>
        </w:rPr>
        <w:t xml:space="preserve">. </w:t>
      </w:r>
      <w:r w:rsidR="00F6697A" w:rsidRPr="0068020A">
        <w:rPr>
          <w:b/>
          <w:i/>
          <w:szCs w:val="24"/>
          <w:lang w:val="en-US"/>
        </w:rPr>
        <w:t>Determination of</w:t>
      </w:r>
      <w:r w:rsidR="00DE0D12">
        <w:rPr>
          <w:b/>
          <w:i/>
          <w:szCs w:val="24"/>
          <w:lang w:val="en-US"/>
        </w:rPr>
        <w:t xml:space="preserve"> </w:t>
      </w:r>
      <w:r w:rsidR="00753AAC" w:rsidRPr="0068020A">
        <w:rPr>
          <w:b/>
          <w:i/>
          <w:szCs w:val="24"/>
          <w:lang w:val="en-US" w:bidi="lo-LA"/>
        </w:rPr>
        <w:t>activity c</w:t>
      </w:r>
      <w:r w:rsidR="00F6697A" w:rsidRPr="0068020A">
        <w:rPr>
          <w:b/>
          <w:i/>
          <w:szCs w:val="24"/>
          <w:lang w:val="en-US" w:bidi="lo-LA"/>
        </w:rPr>
        <w:t>oncentration</w:t>
      </w:r>
    </w:p>
    <w:p w:rsidR="00EE6E11" w:rsidRDefault="000B4D97" w:rsidP="00EE6E11">
      <w:pPr>
        <w:pStyle w:val="ListParagraph"/>
        <w:spacing w:before="120" w:after="120"/>
        <w:ind w:left="142" w:firstLine="284"/>
        <w:contextualSpacing w:val="0"/>
        <w:jc w:val="thaiDistribute"/>
        <w:rPr>
          <w:szCs w:val="24"/>
          <w:lang w:val="en-US" w:bidi="lo-LA"/>
        </w:rPr>
      </w:pPr>
      <w:r w:rsidRPr="000B4D97">
        <w:rPr>
          <w:szCs w:val="24"/>
          <w:lang w:val="en-US" w:bidi="lo-LA"/>
        </w:rPr>
        <w:t>The acti</w:t>
      </w:r>
      <w:r w:rsidR="00B335BE">
        <w:rPr>
          <w:szCs w:val="24"/>
          <w:lang w:val="en-US" w:bidi="lo-LA"/>
        </w:rPr>
        <w:t>vi</w:t>
      </w:r>
      <w:r w:rsidRPr="000B4D97">
        <w:rPr>
          <w:szCs w:val="24"/>
          <w:lang w:val="en-US" w:bidi="lo-LA"/>
        </w:rPr>
        <w:t>ty concentration of a certain radionuclide,</w:t>
      </w:r>
      <m:oMath>
        <m:sSub>
          <m:sSubPr>
            <m:ctrlPr>
              <w:rPr>
                <w:rFonts w:ascii="Cambria Math" w:hAnsi="Cambria Math"/>
                <w:i/>
                <w:szCs w:val="24"/>
                <w:lang w:val="en-US" w:bidi="lo-LA"/>
              </w:rPr>
            </m:ctrlPr>
          </m:sSubPr>
          <m:e>
            <m:r>
              <w:rPr>
                <w:rFonts w:ascii="Cambria Math" w:hAnsi="Cambria Math"/>
                <w:szCs w:val="24"/>
                <w:lang w:val="en-US" w:bidi="lo-LA"/>
              </w:rPr>
              <m:t xml:space="preserve"> A</m:t>
            </m:r>
          </m:e>
          <m:sub>
            <m:r>
              <w:rPr>
                <w:rFonts w:ascii="Cambria Math" w:hAnsi="Cambria Math"/>
                <w:szCs w:val="24"/>
                <w:lang w:val="en-US" w:bidi="lo-LA"/>
              </w:rPr>
              <m:t>0</m:t>
            </m:r>
          </m:sub>
        </m:sSub>
      </m:oMath>
      <w:r w:rsidRPr="000B4D97">
        <w:rPr>
          <w:szCs w:val="24"/>
          <w:lang w:val="en-US" w:bidi="lo-LA"/>
        </w:rPr>
        <w:t>,</w:t>
      </w:r>
      <w:r w:rsidR="00080FDB">
        <w:rPr>
          <w:szCs w:val="24"/>
          <w:lang w:val="en-US" w:bidi="lo-LA"/>
        </w:rPr>
        <w:t xml:space="preserve"> in the soil samples was </w:t>
      </w:r>
      <w:r w:rsidRPr="000B4D97">
        <w:rPr>
          <w:szCs w:val="24"/>
          <w:lang w:val="en-US" w:bidi="lo-LA"/>
        </w:rPr>
        <w:t>calculated using the following equation</w:t>
      </w:r>
      <w:r w:rsidR="001E600B">
        <w:rPr>
          <w:szCs w:val="24"/>
          <w:lang w:val="en-US" w:bidi="lo-LA"/>
        </w:rPr>
        <w:t xml:space="preserve"> </w:t>
      </w:r>
      <w:r w:rsidRPr="000B4D97">
        <w:rPr>
          <w:szCs w:val="24"/>
          <w:lang w:val="en-US" w:bidi="lo-LA"/>
        </w:rPr>
        <w:t>[</w:t>
      </w:r>
      <w:r w:rsidR="006A42D7">
        <w:rPr>
          <w:szCs w:val="24"/>
          <w:lang w:val="en-US" w:bidi="lo-LA"/>
        </w:rPr>
        <w:t>4</w:t>
      </w:r>
      <w:r w:rsidRPr="000B4D97">
        <w:rPr>
          <w:szCs w:val="24"/>
          <w:lang w:val="en-US" w:bidi="lo-LA"/>
        </w:rPr>
        <w:t>,</w:t>
      </w:r>
      <w:r w:rsidR="006A42D7">
        <w:rPr>
          <w:szCs w:val="24"/>
          <w:lang w:val="en-US" w:bidi="lo-LA"/>
        </w:rPr>
        <w:t>5</w:t>
      </w:r>
      <w:r w:rsidRPr="000B4D97">
        <w:rPr>
          <w:szCs w:val="24"/>
          <w:lang w:val="en-US" w:bidi="lo-LA"/>
        </w:rPr>
        <w:t>]</w:t>
      </w:r>
      <w:r w:rsidR="00EE6E11">
        <w:rPr>
          <w:szCs w:val="24"/>
          <w:lang w:val="en-US" w:bidi="lo-LA"/>
        </w:rPr>
        <w:t xml:space="preserve">: </w:t>
      </w:r>
    </w:p>
    <w:p w:rsidR="000B4D97" w:rsidRPr="00943616" w:rsidRDefault="00EE6E11" w:rsidP="00EE6E11">
      <w:pPr>
        <w:pStyle w:val="ListParagraph"/>
        <w:spacing w:before="120" w:after="120"/>
        <w:ind w:left="142" w:firstLine="284"/>
        <w:contextualSpacing w:val="0"/>
        <w:jc w:val="thaiDistribute"/>
        <w:rPr>
          <w:szCs w:val="24"/>
          <w:lang w:val="en-US" w:bidi="lo-LA"/>
        </w:rPr>
      </w:pPr>
      <w:r>
        <w:rPr>
          <w:szCs w:val="24"/>
          <w:lang w:val="en-US" w:bidi="lo-LA"/>
        </w:rPr>
        <w:t xml:space="preserve">                              </w:t>
      </w:r>
      <w:r w:rsidR="000B4D97" w:rsidRPr="000B4D97">
        <w:rPr>
          <w:szCs w:val="24"/>
          <w:lang w:val="en-US" w:bidi="lo-LA"/>
        </w:rPr>
        <w:t>A</w:t>
      </w:r>
      <w:r w:rsidR="000B4D97" w:rsidRPr="000B4D97">
        <w:rPr>
          <w:szCs w:val="24"/>
          <w:vertAlign w:val="subscript"/>
          <w:lang w:val="en-US" w:bidi="lo-LA"/>
        </w:rPr>
        <w:t>0</w:t>
      </w:r>
      <w:r w:rsidR="000B4D97" w:rsidRPr="000B4D97">
        <w:rPr>
          <w:szCs w:val="24"/>
          <w:lang w:val="en-US" w:bidi="lo-LA"/>
        </w:rPr>
        <w:t>(Bqkg</w:t>
      </w:r>
      <w:r w:rsidR="000B4D97" w:rsidRPr="000B4D97">
        <w:rPr>
          <w:szCs w:val="24"/>
          <w:vertAlign w:val="superscript"/>
          <w:lang w:val="en-US" w:bidi="lo-LA"/>
        </w:rPr>
        <w:t>-1</w:t>
      </w:r>
      <w:r w:rsidR="000B4D97" w:rsidRPr="000B4D97">
        <w:rPr>
          <w:szCs w:val="24"/>
          <w:lang w:val="en-US" w:bidi="lo-LA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 w:bidi="lo-LA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 w:bidi="lo-LA"/>
              </w:rPr>
              <m:t>n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 w:bidi="lo-LA"/>
              </w:rPr>
              <m:t>ε×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 w:bidi="lo-LA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 w:bidi="lo-LA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 w:bidi="lo-LA"/>
                  </w:rPr>
                  <m:t>eff</m:t>
                </m:r>
              </m:sub>
            </m:sSub>
            <m:r>
              <w:rPr>
                <w:rFonts w:ascii="Cambria Math" w:hAnsi="Cambria Math"/>
                <w:sz w:val="26"/>
                <w:szCs w:val="26"/>
                <w:lang w:val="en-US" w:bidi="lo-LA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 w:bidi="lo-LA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 w:bidi="lo-L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 w:bidi="lo-LA"/>
                  </w:rPr>
                  <m:t>s</m:t>
                </m:r>
              </m:sub>
            </m:sSub>
          </m:den>
        </m:f>
      </m:oMath>
      <w:r w:rsidR="00613280">
        <w:rPr>
          <w:rFonts w:eastAsiaTheme="minorEastAsia"/>
          <w:szCs w:val="24"/>
          <w:lang w:val="en-US" w:bidi="lo-LA"/>
        </w:rPr>
        <w:tab/>
      </w:r>
      <w:r>
        <w:rPr>
          <w:rFonts w:eastAsiaTheme="minorEastAsia"/>
          <w:szCs w:val="24"/>
          <w:lang w:val="en-US" w:bidi="lo-LA"/>
        </w:rPr>
        <w:t xml:space="preserve">                                                     </w:t>
      </w:r>
      <w:r w:rsidR="000B4D97" w:rsidRPr="000B4D97">
        <w:rPr>
          <w:rFonts w:eastAsiaTheme="minorEastAsia"/>
          <w:szCs w:val="24"/>
          <w:lang w:val="en-US" w:bidi="lo-LA"/>
        </w:rPr>
        <w:t>(1)</w:t>
      </w:r>
    </w:p>
    <w:p w:rsidR="000B4D97" w:rsidRPr="005A4AAD" w:rsidRDefault="00753AAC" w:rsidP="005B2206">
      <w:pPr>
        <w:pStyle w:val="ListParagraph"/>
        <w:spacing w:before="120" w:after="120"/>
        <w:ind w:left="0"/>
        <w:contextualSpacing w:val="0"/>
        <w:jc w:val="thaiDistribute"/>
        <w:rPr>
          <w:rFonts w:eastAsiaTheme="minorEastAsia"/>
          <w:color w:val="262626" w:themeColor="text1" w:themeTint="D9"/>
          <w:szCs w:val="24"/>
          <w:lang w:val="en-US" w:bidi="lo-LA"/>
        </w:rPr>
      </w:pPr>
      <w:r>
        <w:rPr>
          <w:rFonts w:eastAsiaTheme="minorEastAsia"/>
          <w:szCs w:val="24"/>
          <w:lang w:val="en-US" w:bidi="lo-LA"/>
        </w:rPr>
        <w:t>h</w:t>
      </w:r>
      <w:r w:rsidR="000B4D97" w:rsidRPr="000B4D97">
        <w:rPr>
          <w:rFonts w:eastAsiaTheme="minorEastAsia"/>
          <w:szCs w:val="24"/>
          <w:lang w:val="en-US" w:bidi="lo-LA"/>
        </w:rPr>
        <w:t>ere</w:t>
      </w:r>
      <m:oMath>
        <m:r>
          <w:rPr>
            <w:rFonts w:ascii="Cambria Math" w:eastAsiaTheme="minorEastAsia" w:hAnsi="Cambria Math"/>
            <w:szCs w:val="24"/>
            <w:lang w:val="en-US" w:bidi="lo-LA"/>
          </w:rPr>
          <m:t xml:space="preserve"> </m:t>
        </m:r>
        <m:r>
          <w:rPr>
            <w:rFonts w:ascii="Cambria Math" w:hAnsi="Cambria Math"/>
            <w:szCs w:val="24"/>
            <w:lang w:val="en-US" w:bidi="lo-LA"/>
          </w:rPr>
          <m:t>n</m:t>
        </m:r>
      </m:oMath>
      <w:r w:rsidR="000B4D97" w:rsidRPr="000B4D97">
        <w:rPr>
          <w:rFonts w:eastAsiaTheme="minorEastAsia"/>
          <w:szCs w:val="24"/>
          <w:lang w:val="en-US" w:bidi="lo-LA"/>
        </w:rPr>
        <w:t xml:space="preserve"> is the net gamma counting rate (counts per second) for a peak at energy E,</w:t>
      </w:r>
      <m:oMath>
        <m:r>
          <w:rPr>
            <w:rFonts w:ascii="Cambria Math" w:hAnsi="Cambria Math"/>
            <w:szCs w:val="24"/>
            <w:lang w:val="en-US" w:bidi="lo-LA"/>
          </w:rPr>
          <m:t xml:space="preserve"> ε</m:t>
        </m:r>
      </m:oMath>
      <w:r w:rsidR="000B4D97" w:rsidRPr="000B4D97">
        <w:rPr>
          <w:rFonts w:eastAsiaTheme="minorEastAsia"/>
          <w:szCs w:val="24"/>
          <w:lang w:val="en-US" w:bidi="lo-LA"/>
        </w:rPr>
        <w:t xml:space="preserve"> is the </w:t>
      </w:r>
      <w:r w:rsidR="000B4D97" w:rsidRPr="005A4AAD">
        <w:rPr>
          <w:rFonts w:eastAsiaTheme="minorEastAsia"/>
          <w:color w:val="262626" w:themeColor="text1" w:themeTint="D9"/>
          <w:szCs w:val="24"/>
          <w:lang w:val="en-US" w:bidi="lo-LA"/>
        </w:rPr>
        <w:t>detected eff</w:t>
      </w:r>
      <w:r w:rsidR="00D460BB" w:rsidRPr="005A4AAD">
        <w:rPr>
          <w:rFonts w:eastAsiaTheme="minorEastAsia"/>
          <w:color w:val="262626" w:themeColor="text1" w:themeTint="D9"/>
          <w:szCs w:val="24"/>
          <w:lang w:val="en-US" w:bidi="lo-LA"/>
        </w:rPr>
        <w:t>i</w:t>
      </w:r>
      <w:r w:rsidR="000B4D97" w:rsidRPr="005A4AAD">
        <w:rPr>
          <w:rFonts w:eastAsiaTheme="minorEastAsia"/>
          <w:color w:val="262626" w:themeColor="text1" w:themeTint="D9"/>
          <w:szCs w:val="24"/>
          <w:lang w:val="en-US" w:bidi="lo-LA"/>
        </w:rPr>
        <w:t>ciency of a specific</w:t>
      </w:r>
      <w:r w:rsidR="00DE0D12">
        <w:rPr>
          <w:rFonts w:eastAsiaTheme="minorEastAsia"/>
          <w:color w:val="262626" w:themeColor="text1" w:themeTint="D9"/>
          <w:szCs w:val="24"/>
          <w:lang w:val="en-US" w:bidi="lo-LA"/>
        </w:rPr>
        <w:t xml:space="preserve"> </w:t>
      </w:r>
      <w:r w:rsidR="00DE0D12">
        <w:rPr>
          <w:rFonts w:eastAsiaTheme="minorEastAsia"/>
          <w:color w:val="262626" w:themeColor="text1" w:themeTint="D9"/>
          <w:szCs w:val="24"/>
          <w:lang w:val="en-US" w:bidi="lo-LA"/>
        </w:rPr>
        <w:sym w:font="Symbol" w:char="F067"/>
      </w:r>
      <w:r w:rsidR="00DE0D12">
        <w:rPr>
          <w:rFonts w:eastAsiaTheme="minorEastAsia"/>
          <w:color w:val="262626" w:themeColor="text1" w:themeTint="D9"/>
          <w:szCs w:val="24"/>
          <w:lang w:val="en-US" w:bidi="lo-LA"/>
        </w:rPr>
        <w:t xml:space="preserve"> ray</w:t>
      </w:r>
      <w:r w:rsidR="000B4D97" w:rsidRPr="005A4AAD">
        <w:rPr>
          <w:rFonts w:eastAsiaTheme="minorEastAsia"/>
          <w:color w:val="262626" w:themeColor="text1" w:themeTint="D9"/>
          <w:szCs w:val="24"/>
          <w:lang w:val="en-US" w:bidi="lo-LA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262626" w:themeColor="text1" w:themeTint="D9"/>
                <w:szCs w:val="24"/>
                <w:lang w:val="en-US" w:bidi="lo-LA"/>
              </w:rPr>
            </m:ctrlPr>
          </m:sSubPr>
          <m:e>
            <m:r>
              <w:rPr>
                <w:rFonts w:ascii="Cambria Math" w:eastAsiaTheme="minorEastAsia" w:hAnsi="Cambria Math"/>
                <w:color w:val="262626" w:themeColor="text1" w:themeTint="D9"/>
                <w:szCs w:val="24"/>
                <w:lang w:val="en-US" w:bidi="lo-LA"/>
              </w:rPr>
              <m:t xml:space="preserve"> I</m:t>
            </m:r>
          </m:e>
          <m:sub>
            <m:r>
              <w:rPr>
                <w:rFonts w:ascii="Cambria Math" w:eastAsiaTheme="minorEastAsia" w:hAnsi="Cambria Math"/>
                <w:color w:val="262626" w:themeColor="text1" w:themeTint="D9"/>
                <w:szCs w:val="24"/>
                <w:lang w:val="en-US" w:bidi="lo-LA"/>
              </w:rPr>
              <m:t>eff</m:t>
            </m:r>
          </m:sub>
        </m:sSub>
      </m:oMath>
      <w:r w:rsidR="000B4D97" w:rsidRPr="005A4AAD">
        <w:rPr>
          <w:rFonts w:eastAsiaTheme="minorEastAsia"/>
          <w:color w:val="262626" w:themeColor="text1" w:themeTint="D9"/>
          <w:szCs w:val="24"/>
          <w:lang w:val="en-US" w:bidi="lo-LA"/>
        </w:rPr>
        <w:t xml:space="preserve"> is the intensity of the </w:t>
      </w:r>
      <m:oMath>
        <m:r>
          <w:rPr>
            <w:rFonts w:ascii="Cambria Math" w:eastAsiaTheme="minorEastAsia" w:hAnsi="Cambria Math"/>
            <w:color w:val="262626" w:themeColor="text1" w:themeTint="D9"/>
            <w:szCs w:val="24"/>
            <w:lang w:val="en-US" w:bidi="lo-LA"/>
          </w:rPr>
          <m:t xml:space="preserve">γ </m:t>
        </m:r>
      </m:oMath>
      <w:r w:rsidR="000B4D97" w:rsidRPr="005A4AAD">
        <w:rPr>
          <w:rFonts w:eastAsiaTheme="minorEastAsia"/>
          <w:color w:val="262626" w:themeColor="text1" w:themeTint="D9"/>
          <w:szCs w:val="24"/>
          <w:lang w:val="en-US" w:bidi="lo-LA"/>
        </w:rPr>
        <w:t>line in radionuclides,</w:t>
      </w:r>
      <w:r w:rsidR="00DE0D12">
        <w:rPr>
          <w:rFonts w:eastAsiaTheme="minorEastAsia"/>
          <w:color w:val="262626" w:themeColor="text1" w:themeTint="D9"/>
          <w:szCs w:val="24"/>
          <w:lang w:val="en-US" w:bidi="lo-LA"/>
        </w:rPr>
        <w:t xml:space="preserve"> </w:t>
      </w:r>
      <w:r w:rsidR="000B4D97" w:rsidRPr="005A4AAD">
        <w:rPr>
          <w:rFonts w:eastAsiaTheme="minorEastAsia"/>
          <w:color w:val="262626" w:themeColor="text1" w:themeTint="D9"/>
          <w:szCs w:val="24"/>
          <w:lang w:val="en-US" w:bidi="lo-LA"/>
        </w:rPr>
        <w:t xml:space="preserve">and  </w:t>
      </w:r>
      <m:oMath>
        <m:sSub>
          <m:sSubPr>
            <m:ctrlPr>
              <w:rPr>
                <w:rFonts w:ascii="Cambria Math" w:hAnsi="Cambria Math"/>
                <w:i/>
                <w:color w:val="262626" w:themeColor="text1" w:themeTint="D9"/>
                <w:szCs w:val="24"/>
                <w:lang w:val="en-US" w:bidi="lo-LA"/>
              </w:rPr>
            </m:ctrlPr>
          </m:sSubPr>
          <m:e>
            <m:r>
              <w:rPr>
                <w:rFonts w:ascii="Cambria Math" w:hAnsi="Cambria Math"/>
                <w:color w:val="262626" w:themeColor="text1" w:themeTint="D9"/>
                <w:szCs w:val="24"/>
                <w:lang w:val="en-US" w:bidi="lo-LA"/>
              </w:rPr>
              <m:t>m</m:t>
            </m:r>
          </m:e>
          <m:sub>
            <m:r>
              <w:rPr>
                <w:rFonts w:ascii="Cambria Math" w:hAnsi="Cambria Math"/>
                <w:color w:val="262626" w:themeColor="text1" w:themeTint="D9"/>
                <w:szCs w:val="24"/>
                <w:lang w:val="en-US" w:bidi="lo-LA"/>
              </w:rPr>
              <m:t>s</m:t>
            </m:r>
          </m:sub>
        </m:sSub>
      </m:oMath>
      <w:r w:rsidR="000B4D97" w:rsidRPr="005A4AAD">
        <w:rPr>
          <w:rFonts w:eastAsiaTheme="minorEastAsia"/>
          <w:color w:val="262626" w:themeColor="text1" w:themeTint="D9"/>
          <w:szCs w:val="24"/>
          <w:lang w:val="en-US" w:bidi="lo-LA"/>
        </w:rPr>
        <w:t>is the mass of the soil sample under consideration measured in kilograms.</w:t>
      </w:r>
    </w:p>
    <w:p w:rsidR="002F704E" w:rsidRPr="005A4AAD" w:rsidRDefault="00F6697A" w:rsidP="005B2206">
      <w:pPr>
        <w:pStyle w:val="ListParagraph"/>
        <w:spacing w:before="120" w:after="120"/>
        <w:ind w:left="0" w:firstLine="426"/>
        <w:contextualSpacing w:val="0"/>
        <w:jc w:val="thaiDistribute"/>
        <w:rPr>
          <w:color w:val="262626" w:themeColor="text1" w:themeTint="D9"/>
          <w:szCs w:val="24"/>
          <w:lang w:val="en-US"/>
        </w:rPr>
      </w:pPr>
      <w:r w:rsidRPr="005A4AAD">
        <w:rPr>
          <w:color w:val="262626" w:themeColor="text1" w:themeTint="D9"/>
          <w:szCs w:val="24"/>
          <w:lang w:val="en-US"/>
        </w:rPr>
        <w:lastRenderedPageBreak/>
        <w:t xml:space="preserve">In </w:t>
      </w:r>
      <w:r w:rsidR="00DE0D12" w:rsidRPr="00DE0D12">
        <w:rPr>
          <w:color w:val="FF0000"/>
          <w:szCs w:val="24"/>
          <w:lang w:val="en-US"/>
        </w:rPr>
        <w:t>this work</w:t>
      </w:r>
      <w:r w:rsidR="00DE0D12">
        <w:rPr>
          <w:color w:val="FF0000"/>
          <w:szCs w:val="24"/>
          <w:lang w:val="en-US"/>
        </w:rPr>
        <w:t>, gamma spectra of samples</w:t>
      </w:r>
      <w:r w:rsidR="00DE0D12">
        <w:rPr>
          <w:color w:val="262626" w:themeColor="text1" w:themeTint="D9"/>
          <w:szCs w:val="24"/>
          <w:lang w:val="en-US"/>
        </w:rPr>
        <w:t xml:space="preserve"> </w:t>
      </w:r>
      <w:r w:rsidR="00DE0D12" w:rsidRPr="00DE0D12">
        <w:rPr>
          <w:color w:val="FF0000"/>
          <w:szCs w:val="24"/>
          <w:lang w:val="en-US"/>
        </w:rPr>
        <w:t xml:space="preserve">were measured by </w:t>
      </w:r>
      <w:r w:rsidRPr="005A4AAD">
        <w:rPr>
          <w:color w:val="262626" w:themeColor="text1" w:themeTint="D9"/>
          <w:szCs w:val="24"/>
          <w:lang w:val="en-US"/>
        </w:rPr>
        <w:t xml:space="preserve"> low level gamma spectrometer (CANBERRA) using the </w:t>
      </w:r>
      <w:r w:rsidR="00400F30" w:rsidRPr="005A4AAD">
        <w:rPr>
          <w:color w:val="262626" w:themeColor="text1" w:themeTint="D9"/>
          <w:szCs w:val="24"/>
          <w:lang w:val="en-US"/>
        </w:rPr>
        <w:t xml:space="preserve">high purity </w:t>
      </w:r>
      <w:r w:rsidR="00D460BB" w:rsidRPr="005A4AAD">
        <w:rPr>
          <w:color w:val="262626" w:themeColor="text1" w:themeTint="D9"/>
          <w:szCs w:val="24"/>
          <w:lang w:val="en-US"/>
        </w:rPr>
        <w:t>germanium</w:t>
      </w:r>
      <w:r w:rsidR="00DE0D12">
        <w:rPr>
          <w:color w:val="262626" w:themeColor="text1" w:themeTint="D9"/>
          <w:szCs w:val="24"/>
          <w:lang w:val="en-US"/>
        </w:rPr>
        <w:t xml:space="preserve"> </w:t>
      </w:r>
      <w:r w:rsidRPr="005A4AAD">
        <w:rPr>
          <w:color w:val="262626" w:themeColor="text1" w:themeTint="D9"/>
          <w:szCs w:val="24"/>
          <w:lang w:val="en-US"/>
        </w:rPr>
        <w:t>detector (HPGe) with relative efficienc</w:t>
      </w:r>
      <w:r w:rsidR="0004162F" w:rsidRPr="005A4AAD">
        <w:rPr>
          <w:color w:val="262626" w:themeColor="text1" w:themeTint="D9"/>
          <w:szCs w:val="24"/>
          <w:lang w:val="en-US"/>
        </w:rPr>
        <w:t>y</w:t>
      </w:r>
      <w:r w:rsidRPr="005A4AAD">
        <w:rPr>
          <w:color w:val="262626" w:themeColor="text1" w:themeTint="D9"/>
          <w:szCs w:val="24"/>
          <w:lang w:val="en-US"/>
        </w:rPr>
        <w:t xml:space="preserve"> of 15% </w:t>
      </w:r>
      <w:r w:rsidR="00DE0D12">
        <w:rPr>
          <w:color w:val="262626" w:themeColor="text1" w:themeTint="D9"/>
          <w:szCs w:val="24"/>
          <w:lang w:val="en-US"/>
        </w:rPr>
        <w:t xml:space="preserve"> and </w:t>
      </w:r>
      <w:r w:rsidRPr="005A4AAD">
        <w:rPr>
          <w:color w:val="262626" w:themeColor="text1" w:themeTint="D9"/>
          <w:szCs w:val="24"/>
          <w:lang w:val="en-US"/>
        </w:rPr>
        <w:t>energy resolution</w:t>
      </w:r>
      <w:r w:rsidR="00DE0D12">
        <w:rPr>
          <w:color w:val="262626" w:themeColor="text1" w:themeTint="D9"/>
          <w:szCs w:val="24"/>
          <w:lang w:val="en-US"/>
        </w:rPr>
        <w:t xml:space="preserve"> </w:t>
      </w:r>
      <w:r w:rsidR="00DE0D12" w:rsidRPr="00DE0D12">
        <w:rPr>
          <w:color w:val="FF0000"/>
          <w:szCs w:val="24"/>
          <w:lang w:val="en-US"/>
        </w:rPr>
        <w:t>of 1.66 keV</w:t>
      </w:r>
      <w:r w:rsidRPr="00DE0D12">
        <w:rPr>
          <w:color w:val="FF0000"/>
          <w:szCs w:val="24"/>
          <w:lang w:val="en-US"/>
        </w:rPr>
        <w:t xml:space="preserve"> </w:t>
      </w:r>
      <w:r w:rsidRPr="005A4AAD">
        <w:rPr>
          <w:color w:val="262626" w:themeColor="text1" w:themeTint="D9"/>
          <w:szCs w:val="24"/>
          <w:lang w:val="en-US"/>
        </w:rPr>
        <w:t xml:space="preserve">at 1332 keV peak of </w:t>
      </w:r>
      <w:r w:rsidRPr="005A4AAD">
        <w:rPr>
          <w:color w:val="262626" w:themeColor="text1" w:themeTint="D9"/>
          <w:szCs w:val="24"/>
          <w:vertAlign w:val="superscript"/>
          <w:lang w:val="en-US"/>
        </w:rPr>
        <w:t>60</w:t>
      </w:r>
      <w:r w:rsidRPr="005A4AAD">
        <w:rPr>
          <w:color w:val="262626" w:themeColor="text1" w:themeTint="D9"/>
          <w:szCs w:val="24"/>
          <w:lang w:val="en-US"/>
        </w:rPr>
        <w:t>Co</w:t>
      </w:r>
      <w:r w:rsidR="00660F12">
        <w:rPr>
          <w:color w:val="262626" w:themeColor="text1" w:themeTint="D9"/>
          <w:szCs w:val="24"/>
          <w:lang w:val="en-US"/>
        </w:rPr>
        <w:t>.</w:t>
      </w:r>
      <w:r w:rsidRPr="005A4AAD">
        <w:rPr>
          <w:color w:val="262626" w:themeColor="text1" w:themeTint="D9"/>
          <w:szCs w:val="24"/>
          <w:lang w:val="en-US"/>
        </w:rPr>
        <w:t xml:space="preserve"> The detector </w:t>
      </w:r>
      <w:r w:rsidR="00ED11D1" w:rsidRPr="00ED11D1">
        <w:rPr>
          <w:rFonts w:cs="Times New Roman"/>
          <w:color w:val="FF0000"/>
          <w:shd w:val="clear" w:color="auto" w:fill="FFFFFF"/>
        </w:rPr>
        <w:t xml:space="preserve"> is </w:t>
      </w:r>
      <w:r w:rsidR="00ED11D1">
        <w:rPr>
          <w:rFonts w:cs="Times New Roman"/>
          <w:color w:val="FF0000"/>
          <w:shd w:val="clear" w:color="auto" w:fill="FFFFFF"/>
          <w:lang w:val="en-US"/>
        </w:rPr>
        <w:t>placed in</w:t>
      </w:r>
      <w:r w:rsidR="00ED11D1" w:rsidRPr="00ED11D1">
        <w:rPr>
          <w:rFonts w:cs="Times New Roman"/>
          <w:color w:val="FF0000"/>
          <w:shd w:val="clear" w:color="auto" w:fill="FFFFFF"/>
        </w:rPr>
        <w:t xml:space="preserve"> a thick </w:t>
      </w:r>
      <w:r w:rsidR="00ED11D1" w:rsidRPr="00ED11D1">
        <w:rPr>
          <w:rStyle w:val="Emphasis"/>
          <w:rFonts w:cs="Times New Roman"/>
          <w:bCs/>
          <w:i w:val="0"/>
          <w:iCs w:val="0"/>
          <w:color w:val="FF0000"/>
          <w:shd w:val="clear" w:color="auto" w:fill="FFFFFF"/>
        </w:rPr>
        <w:t>lead</w:t>
      </w:r>
      <w:r w:rsidR="00ED11D1" w:rsidRPr="00ED11D1">
        <w:rPr>
          <w:rFonts w:cs="Times New Roman"/>
          <w:color w:val="FF0000"/>
          <w:shd w:val="clear" w:color="auto" w:fill="FFFFFF"/>
        </w:rPr>
        <w:t> shield</w:t>
      </w:r>
      <w:r w:rsidR="00ED11D1" w:rsidRPr="005A4AAD">
        <w:rPr>
          <w:color w:val="262626" w:themeColor="text1" w:themeTint="D9"/>
          <w:szCs w:val="24"/>
          <w:lang w:val="en-US"/>
        </w:rPr>
        <w:t xml:space="preserve"> </w:t>
      </w:r>
      <w:r w:rsidRPr="005A4AAD">
        <w:rPr>
          <w:color w:val="262626" w:themeColor="text1" w:themeTint="D9"/>
          <w:szCs w:val="24"/>
          <w:lang w:val="en-US"/>
        </w:rPr>
        <w:t xml:space="preserve">to reduce gamma radiation background to meet environmental standards to below 0.9 pulses/sec in the energy region from 100 keV to 3000 keV. </w:t>
      </w:r>
      <w:r w:rsidR="002F704E" w:rsidRPr="005A4AAD">
        <w:rPr>
          <w:color w:val="262626" w:themeColor="text1" w:themeTint="D9"/>
          <w:szCs w:val="24"/>
          <w:lang w:val="en-US"/>
        </w:rPr>
        <w:t xml:space="preserve">The activity of </w:t>
      </w:r>
      <w:r w:rsidR="002F704E" w:rsidRPr="005A4AAD">
        <w:rPr>
          <w:color w:val="262626" w:themeColor="text1" w:themeTint="D9"/>
          <w:szCs w:val="24"/>
          <w:vertAlign w:val="superscript"/>
          <w:lang w:val="en-US"/>
        </w:rPr>
        <w:t>226</w:t>
      </w:r>
      <w:r w:rsidR="002F704E" w:rsidRPr="005A4AAD">
        <w:rPr>
          <w:color w:val="262626" w:themeColor="text1" w:themeTint="D9"/>
          <w:szCs w:val="24"/>
          <w:lang w:val="en-US"/>
        </w:rPr>
        <w:t>Ra</w:t>
      </w:r>
      <w:r w:rsidR="0087746E" w:rsidRPr="005A4AAD">
        <w:rPr>
          <w:color w:val="262626" w:themeColor="text1" w:themeTint="D9"/>
          <w:szCs w:val="24"/>
          <w:lang w:val="en-US"/>
        </w:rPr>
        <w:t xml:space="preserve"> was determined based on 295.57 and 351.9 keV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="0087746E" w:rsidRPr="005A4AAD">
        <w:rPr>
          <w:color w:val="262626" w:themeColor="text1" w:themeTint="D9"/>
          <w:szCs w:val="24"/>
          <w:lang w:val="en-US"/>
        </w:rPr>
        <w:t xml:space="preserve">photopeaks, emitted from </w:t>
      </w:r>
      <w:r w:rsidR="0087746E" w:rsidRPr="005A4AAD">
        <w:rPr>
          <w:color w:val="262626" w:themeColor="text1" w:themeTint="D9"/>
          <w:szCs w:val="24"/>
          <w:vertAlign w:val="superscript"/>
          <w:lang w:val="en-US"/>
        </w:rPr>
        <w:t>214</w:t>
      </w:r>
      <w:r w:rsidR="0087746E" w:rsidRPr="005A4AAD">
        <w:rPr>
          <w:color w:val="262626" w:themeColor="text1" w:themeTint="D9"/>
          <w:szCs w:val="24"/>
          <w:lang w:val="en-US"/>
        </w:rPr>
        <w:t>Pb, and 609.3 keV</w:t>
      </w:r>
      <w:r w:rsidR="00EF3DB3" w:rsidRPr="005A4AAD">
        <w:rPr>
          <w:color w:val="262626" w:themeColor="text1" w:themeTint="D9"/>
          <w:szCs w:val="24"/>
          <w:lang w:val="en-US"/>
        </w:rPr>
        <w:t xml:space="preserve"> and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="0087746E" w:rsidRPr="005A4AAD">
        <w:rPr>
          <w:color w:val="262626" w:themeColor="text1" w:themeTint="D9"/>
          <w:szCs w:val="24"/>
          <w:lang w:val="en-US"/>
        </w:rPr>
        <w:t>1120.3</w:t>
      </w:r>
      <w:r w:rsidR="001F656F" w:rsidRPr="005A4AAD">
        <w:rPr>
          <w:color w:val="262626" w:themeColor="text1" w:themeTint="D9"/>
          <w:szCs w:val="24"/>
          <w:lang w:val="en-US"/>
        </w:rPr>
        <w:t xml:space="preserve">keV peak in turn from </w:t>
      </w:r>
      <w:r w:rsidR="001F656F" w:rsidRPr="005A4AAD">
        <w:rPr>
          <w:color w:val="262626" w:themeColor="text1" w:themeTint="D9"/>
          <w:szCs w:val="24"/>
          <w:vertAlign w:val="superscript"/>
          <w:lang w:val="en-US"/>
        </w:rPr>
        <w:t>214</w:t>
      </w:r>
      <w:r w:rsidR="001F656F" w:rsidRPr="005A4AAD">
        <w:rPr>
          <w:color w:val="262626" w:themeColor="text1" w:themeTint="D9"/>
          <w:szCs w:val="24"/>
          <w:lang w:val="en-US"/>
        </w:rPr>
        <w:t xml:space="preserve">Bi. The activity of </w:t>
      </w:r>
      <w:r w:rsidR="001F656F" w:rsidRPr="005A4AAD">
        <w:rPr>
          <w:color w:val="262626" w:themeColor="text1" w:themeTint="D9"/>
          <w:szCs w:val="24"/>
          <w:vertAlign w:val="superscript"/>
          <w:lang w:val="en-US"/>
        </w:rPr>
        <w:t>232</w:t>
      </w:r>
      <w:r w:rsidR="001F656F" w:rsidRPr="005A4AAD">
        <w:rPr>
          <w:color w:val="262626" w:themeColor="text1" w:themeTint="D9"/>
          <w:szCs w:val="24"/>
          <w:lang w:val="en-US"/>
        </w:rPr>
        <w:t>Th was extracted by 338.6 and 911.1 keV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="00EF3DB3" w:rsidRPr="005A4AAD">
        <w:rPr>
          <w:color w:val="262626" w:themeColor="text1" w:themeTint="D9"/>
          <w:szCs w:val="24"/>
          <w:lang w:val="en-US"/>
        </w:rPr>
        <w:t xml:space="preserve">gamma rays of </w:t>
      </w:r>
      <w:r w:rsidR="00EF3DB3" w:rsidRPr="005A4AAD">
        <w:rPr>
          <w:color w:val="262626" w:themeColor="text1" w:themeTint="D9"/>
          <w:szCs w:val="24"/>
          <w:vertAlign w:val="superscript"/>
          <w:lang w:val="en-US"/>
        </w:rPr>
        <w:t>228</w:t>
      </w:r>
      <w:r w:rsidR="00EF3DB3" w:rsidRPr="005A4AAD">
        <w:rPr>
          <w:color w:val="262626" w:themeColor="text1" w:themeTint="D9"/>
          <w:szCs w:val="24"/>
          <w:lang w:val="en-US"/>
        </w:rPr>
        <w:t>Ac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="005F0BC5" w:rsidRPr="005A4AAD">
        <w:rPr>
          <w:color w:val="262626" w:themeColor="text1" w:themeTint="D9"/>
          <w:szCs w:val="24"/>
          <w:lang w:val="en-US"/>
        </w:rPr>
        <w:t xml:space="preserve">and 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="005F0BC5" w:rsidRPr="005A4AAD">
        <w:rPr>
          <w:color w:val="262626" w:themeColor="text1" w:themeTint="D9"/>
          <w:szCs w:val="24"/>
          <w:lang w:val="en-US"/>
        </w:rPr>
        <w:t>583.19 keV</w:t>
      </w:r>
      <w:r w:rsidR="00EF3DB3" w:rsidRPr="005A4AAD">
        <w:rPr>
          <w:color w:val="262626" w:themeColor="text1" w:themeTint="D9"/>
          <w:szCs w:val="24"/>
          <w:lang w:val="en-US"/>
        </w:rPr>
        <w:t xml:space="preserve"> gamma ray of</w:t>
      </w:r>
      <w:r w:rsidR="001E600B">
        <w:rPr>
          <w:color w:val="262626" w:themeColor="text1" w:themeTint="D9"/>
          <w:szCs w:val="24"/>
          <w:lang w:val="en-US"/>
        </w:rPr>
        <w:t xml:space="preserve"> </w:t>
      </w:r>
      <w:r w:rsidR="005F0BC5" w:rsidRPr="005A4AAD">
        <w:rPr>
          <w:color w:val="262626" w:themeColor="text1" w:themeTint="D9"/>
          <w:szCs w:val="24"/>
          <w:vertAlign w:val="superscript"/>
          <w:lang w:val="en-US"/>
        </w:rPr>
        <w:t>208</w:t>
      </w:r>
      <w:r w:rsidR="0004162F" w:rsidRPr="005A4AAD">
        <w:rPr>
          <w:color w:val="262626" w:themeColor="text1" w:themeTint="D9"/>
          <w:szCs w:val="24"/>
          <w:lang w:val="en-US"/>
        </w:rPr>
        <w:t>Tl, respect</w:t>
      </w:r>
      <w:r w:rsidR="005F0BC5" w:rsidRPr="005A4AAD">
        <w:rPr>
          <w:color w:val="262626" w:themeColor="text1" w:themeTint="D9"/>
          <w:szCs w:val="24"/>
          <w:lang w:val="en-US"/>
        </w:rPr>
        <w:t xml:space="preserve">ively. The activity of </w:t>
      </w:r>
      <w:r w:rsidR="005F0BC5" w:rsidRPr="005A4AAD">
        <w:rPr>
          <w:color w:val="262626" w:themeColor="text1" w:themeTint="D9"/>
          <w:szCs w:val="24"/>
          <w:vertAlign w:val="superscript"/>
          <w:lang w:val="en-US"/>
        </w:rPr>
        <w:t>40</w:t>
      </w:r>
      <w:r w:rsidR="005F0BC5" w:rsidRPr="005A4AAD">
        <w:rPr>
          <w:color w:val="262626" w:themeColor="text1" w:themeTint="D9"/>
          <w:szCs w:val="24"/>
          <w:lang w:val="en-US"/>
        </w:rPr>
        <w:t xml:space="preserve">K was determined by </w:t>
      </w:r>
      <w:r w:rsidR="005F0BC5" w:rsidRPr="00B47E7A">
        <w:rPr>
          <w:color w:val="FF0000"/>
          <w:szCs w:val="24"/>
          <w:lang w:val="en-US"/>
        </w:rPr>
        <w:t>1460</w:t>
      </w:r>
      <w:r w:rsidR="00B47E7A" w:rsidRPr="00B47E7A">
        <w:rPr>
          <w:color w:val="FF0000"/>
          <w:szCs w:val="24"/>
          <w:lang w:val="en-US"/>
        </w:rPr>
        <w:t>.82</w:t>
      </w:r>
      <w:r w:rsidR="005F0BC5" w:rsidRPr="005A4AAD">
        <w:rPr>
          <w:color w:val="262626" w:themeColor="text1" w:themeTint="D9"/>
          <w:szCs w:val="24"/>
          <w:lang w:val="en-US"/>
        </w:rPr>
        <w:t xml:space="preserve"> keV</w:t>
      </w:r>
      <w:r w:rsidR="00660F12">
        <w:rPr>
          <w:color w:val="262626" w:themeColor="text1" w:themeTint="D9"/>
          <w:szCs w:val="24"/>
          <w:lang w:val="en-US"/>
        </w:rPr>
        <w:t xml:space="preserve"> </w:t>
      </w:r>
      <w:r w:rsidR="00EF3DB3" w:rsidRPr="005A4AAD">
        <w:rPr>
          <w:color w:val="262626" w:themeColor="text1" w:themeTint="D9"/>
          <w:szCs w:val="24"/>
          <w:lang w:val="en-US"/>
        </w:rPr>
        <w:t>gamma ray</w:t>
      </w:r>
      <w:r w:rsidR="005F0BC5" w:rsidRPr="005A4AAD">
        <w:rPr>
          <w:color w:val="262626" w:themeColor="text1" w:themeTint="D9"/>
          <w:szCs w:val="24"/>
          <w:lang w:val="en-US"/>
        </w:rPr>
        <w:t>.</w:t>
      </w:r>
    </w:p>
    <w:p w:rsidR="000B4D97" w:rsidRPr="005B2206" w:rsidRDefault="00096EF9" w:rsidP="005B2206">
      <w:pPr>
        <w:spacing w:before="120" w:after="120"/>
        <w:jc w:val="thaiDistribute"/>
        <w:rPr>
          <w:i/>
          <w:szCs w:val="24"/>
          <w:lang w:val="en-US"/>
        </w:rPr>
      </w:pPr>
      <w:r w:rsidRPr="005B2206">
        <w:rPr>
          <w:rFonts w:eastAsiaTheme="minorEastAsia"/>
          <w:b/>
          <w:bCs/>
          <w:i/>
          <w:szCs w:val="24"/>
          <w:lang w:val="en-US" w:bidi="lo-LA"/>
        </w:rPr>
        <w:t>2</w:t>
      </w:r>
      <w:r w:rsidR="000B4D97" w:rsidRPr="005B2206">
        <w:rPr>
          <w:rFonts w:eastAsiaTheme="minorEastAsia"/>
          <w:b/>
          <w:bCs/>
          <w:i/>
          <w:szCs w:val="24"/>
          <w:lang w:val="en-US" w:bidi="lo-LA"/>
        </w:rPr>
        <w:t>.</w:t>
      </w:r>
      <w:r w:rsidR="00AD3FFA" w:rsidRPr="005B2206">
        <w:rPr>
          <w:rFonts w:eastAsiaTheme="minorEastAsia"/>
          <w:b/>
          <w:bCs/>
          <w:i/>
          <w:szCs w:val="24"/>
          <w:lang w:val="en-US" w:bidi="lo-LA"/>
        </w:rPr>
        <w:t>3</w:t>
      </w:r>
      <w:r w:rsidR="00F6697A" w:rsidRPr="005B2206">
        <w:rPr>
          <w:rFonts w:eastAsiaTheme="minorEastAsia"/>
          <w:b/>
          <w:bCs/>
          <w:i/>
          <w:szCs w:val="24"/>
          <w:lang w:val="en-US" w:bidi="lo-LA"/>
        </w:rPr>
        <w:t xml:space="preserve">.2 </w:t>
      </w:r>
      <w:r w:rsidR="000B4D97" w:rsidRPr="005B2206">
        <w:rPr>
          <w:rFonts w:eastAsiaTheme="minorEastAsia"/>
          <w:b/>
          <w:bCs/>
          <w:i/>
          <w:szCs w:val="24"/>
          <w:lang w:val="en-US" w:bidi="lo-LA"/>
        </w:rPr>
        <w:t xml:space="preserve"> Radium Equivalent Activity</w:t>
      </w:r>
    </w:p>
    <w:p w:rsidR="001E600B" w:rsidRDefault="000B4D97" w:rsidP="001E600B">
      <w:pPr>
        <w:pStyle w:val="ListParagraph"/>
        <w:spacing w:before="120" w:after="120"/>
        <w:ind w:left="142" w:firstLine="284"/>
        <w:contextualSpacing w:val="0"/>
        <w:jc w:val="thaiDistribute"/>
        <w:rPr>
          <w:rFonts w:eastAsiaTheme="minorEastAsia"/>
          <w:szCs w:val="24"/>
          <w:lang w:val="en-US" w:bidi="lo-LA"/>
        </w:rPr>
      </w:pPr>
      <w:r w:rsidRPr="000B4D97">
        <w:rPr>
          <w:rFonts w:eastAsiaTheme="minorEastAsia"/>
          <w:szCs w:val="24"/>
          <w:lang w:val="en-US" w:bidi="lo-LA"/>
        </w:rPr>
        <w:t xml:space="preserve">The distribution of </w:t>
      </w:r>
      <w:r w:rsidRPr="000B4D97">
        <w:rPr>
          <w:rFonts w:eastAsiaTheme="minorEastAsia"/>
          <w:szCs w:val="24"/>
          <w:vertAlign w:val="superscript"/>
          <w:lang w:val="en-US" w:bidi="lo-LA"/>
        </w:rPr>
        <w:t>226</w:t>
      </w:r>
      <w:r w:rsidRPr="000B4D97">
        <w:rPr>
          <w:rFonts w:eastAsiaTheme="minorEastAsia"/>
          <w:szCs w:val="24"/>
          <w:lang w:val="en-US" w:bidi="lo-LA"/>
        </w:rPr>
        <w:t>Ra,</w:t>
      </w:r>
      <w:r w:rsidR="001E600B">
        <w:rPr>
          <w:rFonts w:eastAsiaTheme="minorEastAsia"/>
          <w:szCs w:val="24"/>
          <w:lang w:val="en-US" w:bidi="lo-LA"/>
        </w:rPr>
        <w:t xml:space="preserve"> </w:t>
      </w:r>
      <w:r w:rsidRPr="000B4D97">
        <w:rPr>
          <w:rFonts w:eastAsiaTheme="minorEastAsia"/>
          <w:szCs w:val="24"/>
          <w:vertAlign w:val="superscript"/>
          <w:lang w:val="en-US" w:bidi="lo-LA"/>
        </w:rPr>
        <w:t>232</w:t>
      </w:r>
      <w:r w:rsidRPr="000B4D97">
        <w:rPr>
          <w:rFonts w:eastAsiaTheme="minorEastAsia"/>
          <w:szCs w:val="24"/>
          <w:lang w:val="en-US" w:bidi="lo-LA"/>
        </w:rPr>
        <w:t xml:space="preserve">Th and </w:t>
      </w:r>
      <w:r w:rsidRPr="000B4D97">
        <w:rPr>
          <w:rFonts w:eastAsiaTheme="minorEastAsia"/>
          <w:szCs w:val="24"/>
          <w:vertAlign w:val="superscript"/>
          <w:lang w:val="en-US" w:bidi="lo-LA"/>
        </w:rPr>
        <w:t>40</w:t>
      </w:r>
      <w:r w:rsidRPr="000B4D97">
        <w:rPr>
          <w:rFonts w:eastAsiaTheme="minorEastAsia"/>
          <w:szCs w:val="24"/>
          <w:lang w:val="en-US" w:bidi="lo-LA"/>
        </w:rPr>
        <w:t>K in soil</w:t>
      </w:r>
      <w:r w:rsidRPr="00B47E7A">
        <w:rPr>
          <w:rFonts w:eastAsiaTheme="minorEastAsia"/>
          <w:color w:val="FF0000"/>
          <w:szCs w:val="24"/>
          <w:lang w:val="en-US" w:bidi="lo-LA"/>
        </w:rPr>
        <w:t xml:space="preserve"> </w:t>
      </w:r>
      <w:r w:rsidR="00B47E7A" w:rsidRPr="00B47E7A">
        <w:rPr>
          <w:rFonts w:eastAsiaTheme="minorEastAsia"/>
          <w:color w:val="FF0000"/>
          <w:szCs w:val="24"/>
          <w:lang w:val="en-US" w:bidi="lo-LA"/>
        </w:rPr>
        <w:t>is</w:t>
      </w:r>
      <w:r w:rsidR="00B47E7A">
        <w:rPr>
          <w:rFonts w:eastAsiaTheme="minorEastAsia"/>
          <w:szCs w:val="24"/>
          <w:lang w:val="en-US" w:bidi="lo-LA"/>
        </w:rPr>
        <w:t xml:space="preserve"> </w:t>
      </w:r>
      <w:r w:rsidRPr="000B4D97">
        <w:rPr>
          <w:rFonts w:eastAsiaTheme="minorEastAsia"/>
          <w:szCs w:val="24"/>
          <w:lang w:val="en-US" w:bidi="lo-LA"/>
        </w:rPr>
        <w:t>not uniform</w:t>
      </w:r>
      <w:r w:rsidRPr="00C85DCB">
        <w:rPr>
          <w:rFonts w:eastAsiaTheme="minorEastAsia"/>
          <w:szCs w:val="24"/>
          <w:lang w:val="en-US" w:bidi="lo-LA"/>
        </w:rPr>
        <w:t>.</w:t>
      </w:r>
      <w:r w:rsidR="001E600B">
        <w:rPr>
          <w:rFonts w:eastAsiaTheme="minorEastAsia"/>
          <w:szCs w:val="24"/>
          <w:lang w:val="en-US" w:bidi="lo-LA"/>
        </w:rPr>
        <w:t xml:space="preserve"> </w:t>
      </w:r>
      <w:r w:rsidRPr="00C85DCB">
        <w:rPr>
          <w:rFonts w:eastAsiaTheme="minorEastAsia"/>
          <w:szCs w:val="24"/>
          <w:lang w:val="en-US" w:bidi="lo-LA"/>
        </w:rPr>
        <w:t xml:space="preserve">Uniformity with </w:t>
      </w:r>
      <w:r w:rsidRPr="005A4AAD">
        <w:rPr>
          <w:rFonts w:eastAsiaTheme="minorEastAsia"/>
          <w:color w:val="404040" w:themeColor="text1" w:themeTint="BF"/>
          <w:szCs w:val="24"/>
          <w:lang w:val="en-US" w:bidi="lo-LA"/>
        </w:rPr>
        <w:t>re</w:t>
      </w:r>
      <w:r w:rsidR="0004162F" w:rsidRPr="005A4AAD">
        <w:rPr>
          <w:rFonts w:eastAsiaTheme="minorEastAsia"/>
          <w:color w:val="404040" w:themeColor="text1" w:themeTint="BF"/>
          <w:szCs w:val="24"/>
          <w:lang w:val="en-US" w:bidi="lo-LA"/>
        </w:rPr>
        <w:t>s</w:t>
      </w:r>
      <w:r w:rsidRPr="005A4AAD">
        <w:rPr>
          <w:rFonts w:eastAsiaTheme="minorEastAsia"/>
          <w:color w:val="404040" w:themeColor="text1" w:themeTint="BF"/>
          <w:szCs w:val="24"/>
          <w:lang w:val="en-US" w:bidi="lo-LA"/>
        </w:rPr>
        <w:t>pect to</w:t>
      </w:r>
      <w:r w:rsidRPr="00C85DCB">
        <w:rPr>
          <w:rFonts w:eastAsiaTheme="minorEastAsia"/>
          <w:szCs w:val="24"/>
          <w:lang w:val="en-US" w:bidi="lo-LA"/>
        </w:rPr>
        <w:t xml:space="preserve"> exposure to radiation has been defined in terms of radium equivalent activity (Ra</w:t>
      </w:r>
      <w:r w:rsidRPr="00C85DCB">
        <w:rPr>
          <w:rFonts w:eastAsiaTheme="minorEastAsia"/>
          <w:szCs w:val="24"/>
          <w:vertAlign w:val="subscript"/>
          <w:lang w:val="en-US" w:bidi="lo-LA"/>
        </w:rPr>
        <w:t>eq</w:t>
      </w:r>
      <w:r w:rsidRPr="00C85DCB">
        <w:rPr>
          <w:rFonts w:eastAsiaTheme="minorEastAsia"/>
          <w:szCs w:val="24"/>
          <w:lang w:val="en-US" w:bidi="lo-LA"/>
        </w:rPr>
        <w:t>) in Bq</w:t>
      </w:r>
      <w:r w:rsidR="005A4AAD">
        <w:rPr>
          <w:rFonts w:eastAsiaTheme="minorEastAsia"/>
          <w:szCs w:val="24"/>
          <w:lang w:val="en-US" w:bidi="lo-LA"/>
        </w:rPr>
        <w:t>.</w:t>
      </w:r>
      <w:r w:rsidRPr="00C85DCB">
        <w:rPr>
          <w:rFonts w:eastAsiaTheme="minorEastAsia"/>
          <w:szCs w:val="24"/>
          <w:lang w:val="en-US" w:bidi="lo-LA"/>
        </w:rPr>
        <w:t>kg</w:t>
      </w:r>
      <w:r w:rsidRPr="00C85DCB">
        <w:rPr>
          <w:rFonts w:eastAsiaTheme="minorEastAsia"/>
          <w:szCs w:val="24"/>
          <w:vertAlign w:val="superscript"/>
          <w:lang w:val="en-US" w:bidi="lo-LA"/>
        </w:rPr>
        <w:t>-1</w:t>
      </w:r>
      <w:r w:rsidRPr="00C85DCB">
        <w:rPr>
          <w:rFonts w:eastAsiaTheme="minorEastAsia"/>
          <w:szCs w:val="24"/>
          <w:lang w:val="en-US" w:bidi="lo-LA"/>
        </w:rPr>
        <w:t xml:space="preserve"> to compare the specific activity of materials containing different amounts of </w:t>
      </w:r>
      <w:r w:rsidRPr="00C85DCB">
        <w:rPr>
          <w:rFonts w:eastAsiaTheme="minorEastAsia"/>
          <w:szCs w:val="24"/>
          <w:vertAlign w:val="superscript"/>
          <w:lang w:val="en-US" w:bidi="lo-LA"/>
        </w:rPr>
        <w:t>226</w:t>
      </w:r>
      <w:r w:rsidRPr="00C85DCB">
        <w:rPr>
          <w:rFonts w:eastAsiaTheme="minorEastAsia"/>
          <w:szCs w:val="24"/>
          <w:lang w:val="en-US" w:bidi="lo-LA"/>
        </w:rPr>
        <w:t>Ra,</w:t>
      </w:r>
      <w:r w:rsidRPr="00C85DCB">
        <w:rPr>
          <w:rFonts w:eastAsiaTheme="minorEastAsia"/>
          <w:szCs w:val="24"/>
          <w:vertAlign w:val="superscript"/>
          <w:lang w:val="en-US" w:bidi="lo-LA"/>
        </w:rPr>
        <w:t>232</w:t>
      </w:r>
      <w:r w:rsidRPr="00C85DCB">
        <w:rPr>
          <w:rFonts w:eastAsiaTheme="minorEastAsia"/>
          <w:szCs w:val="24"/>
          <w:lang w:val="en-US" w:bidi="lo-LA"/>
        </w:rPr>
        <w:t xml:space="preserve">Th and </w:t>
      </w:r>
      <w:r w:rsidRPr="00C85DCB">
        <w:rPr>
          <w:rFonts w:eastAsiaTheme="minorEastAsia"/>
          <w:szCs w:val="24"/>
          <w:vertAlign w:val="superscript"/>
          <w:lang w:val="en-US" w:bidi="lo-LA"/>
        </w:rPr>
        <w:t>40</w:t>
      </w:r>
      <w:r w:rsidRPr="00C85DCB">
        <w:rPr>
          <w:rFonts w:eastAsiaTheme="minorEastAsia"/>
          <w:szCs w:val="24"/>
          <w:lang w:val="en-US" w:bidi="lo-LA"/>
        </w:rPr>
        <w:t>K</w:t>
      </w:r>
      <w:r w:rsidR="001E600B">
        <w:rPr>
          <w:rFonts w:eastAsiaTheme="minorEastAsia"/>
          <w:szCs w:val="24"/>
          <w:lang w:val="en-US" w:bidi="lo-LA"/>
        </w:rPr>
        <w:t xml:space="preserve"> </w:t>
      </w:r>
      <w:r w:rsidR="00C85DCB" w:rsidRPr="00C85DCB">
        <w:rPr>
          <w:rFonts w:eastAsiaTheme="minorEastAsia"/>
          <w:szCs w:val="24"/>
          <w:lang w:val="en-US" w:bidi="lo-LA"/>
        </w:rPr>
        <w:t>[</w:t>
      </w:r>
      <w:r w:rsidR="006A42D7">
        <w:rPr>
          <w:rFonts w:eastAsiaTheme="minorEastAsia"/>
          <w:szCs w:val="24"/>
          <w:lang w:val="en-US" w:bidi="lo-LA"/>
        </w:rPr>
        <w:t>6]</w:t>
      </w:r>
      <w:r w:rsidR="00C85DCB" w:rsidRPr="00C85DCB">
        <w:rPr>
          <w:rFonts w:eastAsiaTheme="minorEastAsia"/>
          <w:szCs w:val="24"/>
          <w:lang w:val="en-US" w:bidi="lo-LA"/>
        </w:rPr>
        <w:t>.</w:t>
      </w:r>
      <w:r w:rsidR="001E600B">
        <w:rPr>
          <w:rFonts w:eastAsiaTheme="minorEastAsia"/>
          <w:szCs w:val="24"/>
          <w:lang w:val="en-US" w:bidi="lo-LA"/>
        </w:rPr>
        <w:t xml:space="preserve"> </w:t>
      </w:r>
      <w:r w:rsidRPr="00C85DCB">
        <w:rPr>
          <w:rFonts w:eastAsiaTheme="minorEastAsia"/>
          <w:szCs w:val="24"/>
          <w:lang w:val="en-US" w:bidi="lo-LA"/>
        </w:rPr>
        <w:t>It is calculated through the following relation</w:t>
      </w:r>
      <w:r w:rsidR="00400F30">
        <w:rPr>
          <w:rFonts w:eastAsiaTheme="minorEastAsia"/>
          <w:szCs w:val="24"/>
          <w:lang w:val="en-US" w:bidi="lo-LA"/>
        </w:rPr>
        <w:t>:</w:t>
      </w:r>
    </w:p>
    <w:p w:rsidR="000B4D97" w:rsidRPr="000B4D97" w:rsidRDefault="001E600B" w:rsidP="001E600B">
      <w:pPr>
        <w:pStyle w:val="ListParagraph"/>
        <w:spacing w:before="120" w:after="120"/>
        <w:ind w:left="142" w:firstLine="284"/>
        <w:contextualSpacing w:val="0"/>
        <w:jc w:val="thaiDistribute"/>
        <w:rPr>
          <w:rFonts w:eastAsiaTheme="minorEastAsia"/>
          <w:szCs w:val="24"/>
          <w:lang w:val="en-US" w:bidi="lo-LA"/>
        </w:rPr>
      </w:pPr>
      <w:r>
        <w:rPr>
          <w:rFonts w:eastAsiaTheme="minorEastAsia"/>
          <w:szCs w:val="24"/>
          <w:lang w:val="en-US" w:bidi="lo-LA"/>
        </w:rPr>
        <w:t xml:space="preserve">                                      </w:t>
      </w:r>
      <w:r w:rsidR="000B4D97" w:rsidRPr="000B4D97">
        <w:rPr>
          <w:rFonts w:eastAsiaTheme="minorEastAsia"/>
          <w:szCs w:val="24"/>
          <w:lang w:val="en-US" w:bidi="lo-LA"/>
        </w:rPr>
        <w:t>Ra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eq</w:t>
      </w:r>
      <w:r w:rsidR="000B4D97" w:rsidRPr="000B4D97">
        <w:rPr>
          <w:rFonts w:eastAsiaTheme="minorEastAsia"/>
          <w:szCs w:val="24"/>
          <w:lang w:val="en-US" w:bidi="lo-LA"/>
        </w:rPr>
        <w:t>=</w:t>
      </w:r>
      <w:r w:rsidR="003D3B3B">
        <w:rPr>
          <w:rFonts w:eastAsiaTheme="minorEastAsia"/>
          <w:szCs w:val="24"/>
          <w:lang w:val="en-US" w:bidi="lo-LA"/>
        </w:rPr>
        <w:t xml:space="preserve"> </w:t>
      </w:r>
      <w:r w:rsidR="000B4D97" w:rsidRPr="000B4D97">
        <w:rPr>
          <w:rFonts w:eastAsiaTheme="minorEastAsia"/>
          <w:szCs w:val="24"/>
          <w:lang w:val="en-US" w:bidi="lo-LA"/>
        </w:rPr>
        <w:t>A</w:t>
      </w:r>
      <w:r w:rsidR="00753AAC">
        <w:rPr>
          <w:rFonts w:eastAsiaTheme="minorEastAsia"/>
          <w:szCs w:val="24"/>
          <w:vertAlign w:val="subscript"/>
          <w:lang w:val="en-US" w:bidi="lo-LA"/>
        </w:rPr>
        <w:t>0</w:t>
      </w:r>
      <w:r w:rsidR="000B4D97" w:rsidRPr="00753AAC">
        <w:rPr>
          <w:rFonts w:eastAsiaTheme="minorEastAsia"/>
          <w:szCs w:val="24"/>
          <w:vertAlign w:val="subscript"/>
          <w:lang w:val="en-US" w:bidi="lo-LA"/>
        </w:rPr>
        <w:t>Ra</w:t>
      </w:r>
      <w:r w:rsidR="000B4D97" w:rsidRPr="000B4D97">
        <w:rPr>
          <w:rFonts w:eastAsiaTheme="minorEastAsia"/>
          <w:szCs w:val="24"/>
          <w:lang w:val="en-US" w:bidi="lo-LA"/>
        </w:rPr>
        <w:t>+</w:t>
      </w:r>
      <w:r w:rsidR="003D3B3B">
        <w:rPr>
          <w:rFonts w:eastAsiaTheme="minorEastAsia"/>
          <w:szCs w:val="24"/>
          <w:lang w:val="en-US" w:bidi="lo-LA"/>
        </w:rPr>
        <w:t xml:space="preserve"> </w:t>
      </w:r>
      <w:r w:rsidR="000B4D97" w:rsidRPr="000B4D97">
        <w:rPr>
          <w:rFonts w:eastAsiaTheme="minorEastAsia"/>
          <w:szCs w:val="24"/>
          <w:lang w:val="en-US" w:bidi="lo-LA"/>
        </w:rPr>
        <w:t>1.43A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0Th</w:t>
      </w:r>
      <w:r w:rsidR="000B4D97" w:rsidRPr="000B4D97">
        <w:rPr>
          <w:rFonts w:eastAsiaTheme="minorEastAsia"/>
          <w:szCs w:val="24"/>
          <w:lang w:val="en-US" w:bidi="lo-LA"/>
        </w:rPr>
        <w:t>+</w:t>
      </w:r>
      <w:r w:rsidR="003D3B3B">
        <w:rPr>
          <w:rFonts w:eastAsiaTheme="minorEastAsia"/>
          <w:szCs w:val="24"/>
          <w:lang w:val="en-US" w:bidi="lo-LA"/>
        </w:rPr>
        <w:t xml:space="preserve"> </w:t>
      </w:r>
      <w:r w:rsidR="000B4D97" w:rsidRPr="000B4D97">
        <w:rPr>
          <w:rFonts w:eastAsiaTheme="minorEastAsia"/>
          <w:szCs w:val="24"/>
          <w:lang w:val="en-US" w:bidi="lo-LA"/>
        </w:rPr>
        <w:t>0.07A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0K</w:t>
      </w:r>
      <w:r w:rsidR="003D3B3B">
        <w:rPr>
          <w:rFonts w:eastAsiaTheme="minorEastAsia"/>
          <w:szCs w:val="24"/>
          <w:lang w:val="en-US" w:bidi="lo-LA"/>
        </w:rPr>
        <w:tab/>
      </w:r>
      <w:r>
        <w:rPr>
          <w:rFonts w:eastAsiaTheme="minorEastAsia"/>
          <w:szCs w:val="24"/>
          <w:lang w:val="en-US" w:bidi="lo-LA"/>
        </w:rPr>
        <w:t xml:space="preserve">                               </w:t>
      </w:r>
      <w:r w:rsidR="000B4D97" w:rsidRPr="000B4D97">
        <w:rPr>
          <w:rFonts w:eastAsiaTheme="minorEastAsia"/>
          <w:szCs w:val="24"/>
          <w:lang w:val="en-US" w:bidi="lo-LA"/>
        </w:rPr>
        <w:t xml:space="preserve">  (2)</w:t>
      </w:r>
    </w:p>
    <w:p w:rsidR="009A5118" w:rsidRDefault="00C23FFE" w:rsidP="005B2206">
      <w:pPr>
        <w:pStyle w:val="ListParagraph"/>
        <w:spacing w:before="120" w:after="120"/>
        <w:ind w:left="0"/>
        <w:contextualSpacing w:val="0"/>
        <w:jc w:val="thaiDistribute"/>
        <w:rPr>
          <w:rFonts w:eastAsiaTheme="minorEastAsia"/>
          <w:szCs w:val="24"/>
          <w:lang w:val="en-US" w:bidi="lo-LA"/>
        </w:rPr>
      </w:pPr>
      <w:r>
        <w:rPr>
          <w:rFonts w:eastAsiaTheme="minorEastAsia"/>
          <w:szCs w:val="24"/>
          <w:lang w:val="en-US" w:bidi="lo-LA"/>
        </w:rPr>
        <w:t>w</w:t>
      </w:r>
      <w:r w:rsidR="000B4D97" w:rsidRPr="000B4D97">
        <w:rPr>
          <w:rFonts w:eastAsiaTheme="minorEastAsia"/>
          <w:szCs w:val="24"/>
          <w:lang w:val="en-US" w:bidi="lo-LA"/>
        </w:rPr>
        <w:t>here 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0Ra,</w:t>
      </w:r>
      <w:r w:rsidR="00B47E7A">
        <w:rPr>
          <w:rFonts w:eastAsiaTheme="minorEastAsia"/>
          <w:szCs w:val="24"/>
          <w:vertAlign w:val="subscript"/>
          <w:lang w:val="en-US" w:bidi="lo-LA"/>
        </w:rPr>
        <w:t xml:space="preserve"> </w:t>
      </w:r>
      <w:r w:rsidR="000B4D97" w:rsidRPr="000B4D97">
        <w:rPr>
          <w:rFonts w:eastAsiaTheme="minorEastAsia"/>
          <w:szCs w:val="24"/>
          <w:lang w:val="en-US" w:bidi="lo-LA"/>
        </w:rPr>
        <w:t>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 xml:space="preserve">0Th </w:t>
      </w:r>
      <w:r w:rsidR="000B4D97" w:rsidRPr="000B4D97">
        <w:rPr>
          <w:rFonts w:eastAsiaTheme="minorEastAsia"/>
          <w:szCs w:val="24"/>
          <w:lang w:val="en-US" w:bidi="lo-LA"/>
        </w:rPr>
        <w:t>and 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0K</w:t>
      </w:r>
      <w:r w:rsidR="00B47E7A">
        <w:rPr>
          <w:rFonts w:eastAsiaTheme="minorEastAsia"/>
          <w:szCs w:val="24"/>
          <w:vertAlign w:val="subscript"/>
          <w:lang w:val="en-US" w:bidi="lo-LA"/>
        </w:rPr>
        <w:t xml:space="preserve"> </w:t>
      </w:r>
      <w:r w:rsidR="000B4D97" w:rsidRPr="000B4D97">
        <w:rPr>
          <w:rFonts w:eastAsiaTheme="minorEastAsia"/>
          <w:szCs w:val="24"/>
          <w:lang w:val="en-US" w:bidi="lo-LA"/>
        </w:rPr>
        <w:t xml:space="preserve">are the activity concentration of </w:t>
      </w:r>
      <w:r w:rsidR="000B4D97" w:rsidRPr="000B4D97">
        <w:rPr>
          <w:rFonts w:eastAsiaTheme="minorEastAsia"/>
          <w:szCs w:val="24"/>
          <w:vertAlign w:val="superscript"/>
          <w:lang w:val="en-US" w:bidi="lo-LA"/>
        </w:rPr>
        <w:t>226</w:t>
      </w:r>
      <w:r w:rsidR="000B4D97" w:rsidRPr="000B4D97">
        <w:rPr>
          <w:rFonts w:eastAsiaTheme="minorEastAsia"/>
          <w:szCs w:val="24"/>
          <w:lang w:val="en-US" w:bidi="lo-LA"/>
        </w:rPr>
        <w:t>Ra,</w:t>
      </w:r>
      <w:r w:rsidR="000B4D97" w:rsidRPr="000B4D97">
        <w:rPr>
          <w:rFonts w:eastAsiaTheme="minorEastAsia"/>
          <w:szCs w:val="24"/>
          <w:vertAlign w:val="superscript"/>
          <w:lang w:val="en-US" w:bidi="lo-LA"/>
        </w:rPr>
        <w:t>232</w:t>
      </w:r>
      <w:r w:rsidR="000B4D97" w:rsidRPr="000B4D97">
        <w:rPr>
          <w:rFonts w:eastAsiaTheme="minorEastAsia"/>
          <w:szCs w:val="24"/>
          <w:lang w:val="en-US" w:bidi="lo-LA"/>
        </w:rPr>
        <w:t xml:space="preserve">Th and </w:t>
      </w:r>
      <w:r w:rsidR="000B4D97" w:rsidRPr="000B4D97">
        <w:rPr>
          <w:rFonts w:eastAsiaTheme="minorEastAsia"/>
          <w:szCs w:val="24"/>
          <w:vertAlign w:val="superscript"/>
          <w:lang w:val="en-US" w:bidi="lo-LA"/>
        </w:rPr>
        <w:t>40</w:t>
      </w:r>
      <w:r w:rsidR="000B4D97" w:rsidRPr="000B4D97">
        <w:rPr>
          <w:rFonts w:eastAsiaTheme="minorEastAsia"/>
          <w:szCs w:val="24"/>
          <w:lang w:val="en-US" w:bidi="lo-LA"/>
        </w:rPr>
        <w:t>K in Bq</w:t>
      </w:r>
      <w:r w:rsidR="00753AAC">
        <w:rPr>
          <w:rFonts w:eastAsiaTheme="minorEastAsia"/>
          <w:szCs w:val="24"/>
          <w:lang w:val="en-US" w:bidi="lo-LA"/>
        </w:rPr>
        <w:t>.</w:t>
      </w:r>
      <w:r w:rsidR="000B4D97" w:rsidRPr="000B4D97">
        <w:rPr>
          <w:rFonts w:eastAsiaTheme="minorEastAsia"/>
          <w:szCs w:val="24"/>
          <w:lang w:val="en-US" w:bidi="lo-LA"/>
        </w:rPr>
        <w:t>kg</w:t>
      </w:r>
      <w:r w:rsidR="00753AAC">
        <w:rPr>
          <w:rFonts w:eastAsiaTheme="minorEastAsia"/>
          <w:szCs w:val="24"/>
          <w:vertAlign w:val="superscript"/>
          <w:lang w:val="en-US" w:bidi="lo-LA"/>
        </w:rPr>
        <w:t>1</w:t>
      </w:r>
      <w:r w:rsidR="00BA42A2">
        <w:rPr>
          <w:rFonts w:eastAsiaTheme="minorEastAsia"/>
          <w:szCs w:val="24"/>
          <w:vertAlign w:val="subscript"/>
          <w:lang w:val="en-US" w:bidi="lo-LA"/>
        </w:rPr>
        <w:t>,</w:t>
      </w:r>
      <w:r w:rsidR="001E600B">
        <w:rPr>
          <w:rFonts w:eastAsiaTheme="minorEastAsia"/>
          <w:szCs w:val="24"/>
          <w:vertAlign w:val="subscript"/>
          <w:lang w:val="en-US" w:bidi="lo-LA"/>
        </w:rPr>
        <w:t xml:space="preserve"> </w:t>
      </w:r>
      <w:r w:rsidR="000B4D97" w:rsidRPr="000B4D97">
        <w:rPr>
          <w:rFonts w:eastAsiaTheme="minorEastAsia"/>
          <w:szCs w:val="24"/>
          <w:lang w:val="en-US" w:bidi="lo-LA"/>
        </w:rPr>
        <w:t>respectively.</w:t>
      </w:r>
    </w:p>
    <w:p w:rsidR="009A5118" w:rsidRDefault="009A5118" w:rsidP="005B2206">
      <w:pPr>
        <w:spacing w:before="120" w:after="120"/>
        <w:ind w:firstLine="720"/>
        <w:jc w:val="thaiDistribute"/>
        <w:rPr>
          <w:rFonts w:eastAsiaTheme="minorEastAsia"/>
          <w:szCs w:val="24"/>
          <w:lang w:val="en-US" w:bidi="lo-LA"/>
        </w:rPr>
      </w:pPr>
      <w:r w:rsidRPr="009A5118">
        <w:rPr>
          <w:rFonts w:eastAsiaTheme="minorEastAsia"/>
          <w:szCs w:val="24"/>
          <w:lang w:val="en-US" w:bidi="lo-LA"/>
        </w:rPr>
        <w:t>Absorbed  gamma  dose  rate  (D)</w:t>
      </w:r>
      <w:r w:rsidR="00753AAC">
        <w:rPr>
          <w:rFonts w:eastAsiaTheme="minorEastAsia"/>
          <w:szCs w:val="24"/>
          <w:lang w:val="en-US" w:bidi="lo-LA"/>
        </w:rPr>
        <w:t xml:space="preserve">: </w:t>
      </w:r>
      <w:r w:rsidRPr="009A5118">
        <w:rPr>
          <w:rFonts w:eastAsiaTheme="minorEastAsia"/>
          <w:szCs w:val="24"/>
          <w:lang w:val="en-US" w:bidi="lo-LA"/>
        </w:rPr>
        <w:t xml:space="preserve"> The  outdo</w:t>
      </w:r>
      <w:r>
        <w:rPr>
          <w:rFonts w:eastAsiaTheme="minorEastAsia"/>
          <w:szCs w:val="24"/>
          <w:lang w:val="en-US" w:bidi="lo-LA"/>
        </w:rPr>
        <w:t>or  absorbed  dose  rate  (nGy</w:t>
      </w:r>
      <w:r w:rsidRPr="009A5118">
        <w:rPr>
          <w:rFonts w:eastAsiaTheme="minorEastAsia"/>
          <w:szCs w:val="24"/>
          <w:lang w:val="en-US" w:bidi="lo-LA"/>
        </w:rPr>
        <w:t>h</w:t>
      </w:r>
      <w:r w:rsidRPr="009A5118">
        <w:rPr>
          <w:rFonts w:eastAsiaTheme="minorEastAsia"/>
          <w:szCs w:val="24"/>
          <w:vertAlign w:val="superscript"/>
          <w:lang w:val="en-US" w:bidi="lo-LA"/>
        </w:rPr>
        <w:t>−1</w:t>
      </w:r>
      <w:r w:rsidRPr="009A5118">
        <w:rPr>
          <w:rFonts w:eastAsiaTheme="minorEastAsia"/>
          <w:szCs w:val="24"/>
          <w:lang w:val="en-US" w:bidi="lo-LA"/>
        </w:rPr>
        <w:t>)  in  air  from terrestrial  gamma  radiation  at  1  m  above  the  ground is  calculated  after  applying  the  conversion  factors  (in</w:t>
      </w:r>
      <w:r>
        <w:rPr>
          <w:rFonts w:eastAsiaTheme="minorEastAsia"/>
          <w:szCs w:val="24"/>
          <w:lang w:val="en-US" w:bidi="lo-LA"/>
        </w:rPr>
        <w:t xml:space="preserve"> nGy</w:t>
      </w:r>
      <w:r w:rsidRPr="009A5118">
        <w:rPr>
          <w:rFonts w:eastAsiaTheme="minorEastAsia"/>
          <w:szCs w:val="24"/>
          <w:lang w:val="en-US" w:bidi="lo-LA"/>
        </w:rPr>
        <w:t>h</w:t>
      </w:r>
      <w:r w:rsidRPr="009A5118">
        <w:rPr>
          <w:rFonts w:eastAsiaTheme="minorEastAsia"/>
          <w:szCs w:val="24"/>
          <w:vertAlign w:val="superscript"/>
          <w:lang w:val="en-US" w:bidi="lo-LA"/>
        </w:rPr>
        <w:t>−1</w:t>
      </w:r>
      <w:r w:rsidRPr="009A5118">
        <w:rPr>
          <w:rFonts w:eastAsiaTheme="minorEastAsia"/>
          <w:szCs w:val="24"/>
          <w:lang w:val="en-US" w:bidi="lo-LA"/>
        </w:rPr>
        <w:t xml:space="preserve"> per  Bq</w:t>
      </w:r>
      <w:r w:rsidR="009743F5">
        <w:rPr>
          <w:rFonts w:eastAsiaTheme="minorEastAsia"/>
          <w:szCs w:val="24"/>
          <w:lang w:val="en-US" w:bidi="lo-LA"/>
        </w:rPr>
        <w:t>.</w:t>
      </w:r>
      <w:r w:rsidRPr="009A5118">
        <w:rPr>
          <w:rFonts w:eastAsiaTheme="minorEastAsia"/>
          <w:szCs w:val="24"/>
          <w:lang w:val="en-US" w:bidi="lo-LA"/>
        </w:rPr>
        <w:t>kg</w:t>
      </w:r>
      <w:r w:rsidRPr="009A5118">
        <w:rPr>
          <w:rFonts w:eastAsiaTheme="minorEastAsia"/>
          <w:szCs w:val="24"/>
          <w:vertAlign w:val="superscript"/>
          <w:lang w:val="en-US" w:bidi="lo-LA"/>
        </w:rPr>
        <w:t>−1</w:t>
      </w:r>
      <w:r w:rsidRPr="009A5118">
        <w:rPr>
          <w:rFonts w:eastAsiaTheme="minorEastAsia"/>
          <w:szCs w:val="24"/>
          <w:lang w:val="en-US" w:bidi="lo-LA"/>
        </w:rPr>
        <w:t xml:space="preserve">)  to  transform  the  speciﬁc  activities </w:t>
      </w:r>
      <w:r w:rsidRPr="000B4D97">
        <w:rPr>
          <w:rFonts w:eastAsiaTheme="minorEastAsia"/>
          <w:szCs w:val="24"/>
          <w:lang w:val="en-US" w:bidi="lo-LA"/>
        </w:rPr>
        <w:t>A</w:t>
      </w:r>
      <w:r w:rsidRPr="000B4D97">
        <w:rPr>
          <w:rFonts w:eastAsiaTheme="minorEastAsia"/>
          <w:szCs w:val="24"/>
          <w:vertAlign w:val="subscript"/>
          <w:lang w:val="en-US" w:bidi="lo-LA"/>
        </w:rPr>
        <w:t>0Ra</w:t>
      </w:r>
      <w:r w:rsidRPr="009A5118">
        <w:rPr>
          <w:rFonts w:eastAsiaTheme="minorEastAsia"/>
          <w:szCs w:val="24"/>
          <w:lang w:val="en-US" w:bidi="lo-LA"/>
        </w:rPr>
        <w:t xml:space="preserve">,  </w:t>
      </w:r>
      <w:r w:rsidRPr="000B4D97">
        <w:rPr>
          <w:rFonts w:eastAsiaTheme="minorEastAsia"/>
          <w:szCs w:val="24"/>
          <w:lang w:val="en-US" w:bidi="lo-LA"/>
        </w:rPr>
        <w:t>A</w:t>
      </w:r>
      <w:r w:rsidRPr="000B4D97">
        <w:rPr>
          <w:rFonts w:eastAsiaTheme="minorEastAsia"/>
          <w:szCs w:val="24"/>
          <w:vertAlign w:val="subscript"/>
          <w:lang w:val="en-US" w:bidi="lo-LA"/>
        </w:rPr>
        <w:t>0Th</w:t>
      </w:r>
      <w:r w:rsidRPr="009A5118">
        <w:rPr>
          <w:rFonts w:eastAsiaTheme="minorEastAsia"/>
          <w:szCs w:val="24"/>
          <w:lang w:val="en-US" w:bidi="lo-LA"/>
        </w:rPr>
        <w:t xml:space="preserve"> and  </w:t>
      </w:r>
      <w:r w:rsidRPr="000B4D97">
        <w:rPr>
          <w:rFonts w:eastAsiaTheme="minorEastAsia"/>
          <w:szCs w:val="24"/>
          <w:lang w:val="en-US" w:bidi="lo-LA"/>
        </w:rPr>
        <w:t>A</w:t>
      </w:r>
      <w:r w:rsidRPr="000B4D97">
        <w:rPr>
          <w:rFonts w:eastAsiaTheme="minorEastAsia"/>
          <w:szCs w:val="24"/>
          <w:vertAlign w:val="subscript"/>
          <w:lang w:val="en-US" w:bidi="lo-LA"/>
        </w:rPr>
        <w:t>0K</w:t>
      </w:r>
      <w:r w:rsidRPr="009A5118">
        <w:rPr>
          <w:rFonts w:eastAsiaTheme="minorEastAsia"/>
          <w:szCs w:val="24"/>
          <w:lang w:val="en-US" w:bidi="lo-LA"/>
        </w:rPr>
        <w:t xml:space="preserve"> into the  absorbed  dose  rate  according</w:t>
      </w:r>
      <w:r w:rsidR="00B47E7A">
        <w:rPr>
          <w:rFonts w:eastAsiaTheme="minorEastAsia"/>
          <w:szCs w:val="24"/>
          <w:lang w:val="en-US" w:bidi="lo-LA"/>
        </w:rPr>
        <w:t xml:space="preserve"> </w:t>
      </w:r>
      <w:r w:rsidRPr="009A5118">
        <w:rPr>
          <w:rFonts w:eastAsiaTheme="minorEastAsia"/>
          <w:szCs w:val="24"/>
          <w:lang w:val="en-US" w:bidi="lo-LA"/>
        </w:rPr>
        <w:t>to  the  formula  provided  by  UNSCEAR   [</w:t>
      </w:r>
      <w:r w:rsidR="00911788">
        <w:rPr>
          <w:rFonts w:eastAsiaTheme="minorEastAsia"/>
          <w:szCs w:val="24"/>
          <w:lang w:val="en-US" w:bidi="lo-LA"/>
        </w:rPr>
        <w:t>1</w:t>
      </w:r>
      <w:r w:rsidR="00753AAC">
        <w:rPr>
          <w:rFonts w:eastAsiaTheme="minorEastAsia"/>
          <w:szCs w:val="24"/>
          <w:lang w:val="en-US" w:bidi="lo-LA"/>
        </w:rPr>
        <w:t>]:</w:t>
      </w:r>
    </w:p>
    <w:p w:rsidR="00753AAC" w:rsidRDefault="009A5118" w:rsidP="005B2206">
      <w:pPr>
        <w:pStyle w:val="ListParagraph"/>
        <w:tabs>
          <w:tab w:val="left" w:pos="7935"/>
        </w:tabs>
        <w:spacing w:before="120" w:after="120"/>
        <w:ind w:left="0" w:hanging="11"/>
        <w:contextualSpacing w:val="0"/>
        <w:jc w:val="right"/>
        <w:rPr>
          <w:rFonts w:eastAsiaTheme="minorEastAsia"/>
          <w:szCs w:val="24"/>
          <w:lang w:val="en-US" w:bidi="lo-LA"/>
        </w:rPr>
      </w:pPr>
      <w:r>
        <w:rPr>
          <w:rFonts w:eastAsiaTheme="minorEastAsia"/>
          <w:szCs w:val="24"/>
          <w:lang w:val="en-US" w:bidi="lo-LA"/>
        </w:rPr>
        <w:t>D (nGy</w:t>
      </w:r>
      <w:r w:rsidRPr="009A5118">
        <w:rPr>
          <w:rFonts w:eastAsiaTheme="minorEastAsia"/>
          <w:szCs w:val="24"/>
          <w:lang w:val="en-US" w:bidi="lo-LA"/>
        </w:rPr>
        <w:t>h</w:t>
      </w:r>
      <w:r w:rsidRPr="009A5118">
        <w:rPr>
          <w:rFonts w:eastAsiaTheme="minorEastAsia"/>
          <w:szCs w:val="24"/>
          <w:vertAlign w:val="superscript"/>
          <w:lang w:val="en-US" w:bidi="lo-LA"/>
        </w:rPr>
        <w:t>−1</w:t>
      </w:r>
      <w:r>
        <w:rPr>
          <w:rFonts w:eastAsiaTheme="minorEastAsia"/>
          <w:szCs w:val="24"/>
          <w:lang w:val="en-US" w:bidi="lo-LA"/>
        </w:rPr>
        <w:t>) =  0.92</w:t>
      </w:r>
      <w:r w:rsidR="00B47E7A">
        <w:rPr>
          <w:rFonts w:eastAsiaTheme="minorEastAsia"/>
          <w:szCs w:val="24"/>
          <w:lang w:val="en-US" w:bidi="lo-LA"/>
        </w:rPr>
        <w:t xml:space="preserve"> </w:t>
      </w:r>
      <w:r>
        <w:rPr>
          <w:rFonts w:eastAsiaTheme="minorEastAsia"/>
          <w:szCs w:val="24"/>
          <w:lang w:val="en-US" w:bidi="lo-LA"/>
        </w:rPr>
        <w:t>×</w:t>
      </w:r>
      <w:r w:rsidR="00B47E7A">
        <w:rPr>
          <w:rFonts w:eastAsiaTheme="minorEastAsia"/>
          <w:szCs w:val="24"/>
          <w:lang w:val="en-US" w:bidi="lo-LA"/>
        </w:rPr>
        <w:t xml:space="preserve"> </w:t>
      </w:r>
      <w:r w:rsidRPr="000B4D97">
        <w:rPr>
          <w:rFonts w:eastAsiaTheme="minorEastAsia"/>
          <w:szCs w:val="24"/>
          <w:lang w:val="en-US" w:bidi="lo-LA"/>
        </w:rPr>
        <w:t>A</w:t>
      </w:r>
      <w:r w:rsidRPr="000B4D97">
        <w:rPr>
          <w:rFonts w:eastAsiaTheme="minorEastAsia"/>
          <w:szCs w:val="24"/>
          <w:vertAlign w:val="subscript"/>
          <w:lang w:val="en-US" w:bidi="lo-LA"/>
        </w:rPr>
        <w:t>0Ra</w:t>
      </w:r>
      <w:r>
        <w:rPr>
          <w:rFonts w:eastAsiaTheme="minorEastAsia"/>
          <w:szCs w:val="24"/>
          <w:lang w:val="en-US" w:bidi="lo-LA"/>
        </w:rPr>
        <w:t xml:space="preserve"> +  1.1</w:t>
      </w:r>
      <w:r w:rsidRPr="009A5118">
        <w:rPr>
          <w:rFonts w:eastAsiaTheme="minorEastAsia"/>
          <w:szCs w:val="24"/>
          <w:lang w:val="en-US" w:bidi="lo-LA"/>
        </w:rPr>
        <w:t xml:space="preserve"> × </w:t>
      </w:r>
      <w:r w:rsidRPr="000B4D97">
        <w:rPr>
          <w:rFonts w:eastAsiaTheme="minorEastAsia"/>
          <w:szCs w:val="24"/>
          <w:lang w:val="en-US" w:bidi="lo-LA"/>
        </w:rPr>
        <w:t>A</w:t>
      </w:r>
      <w:r w:rsidRPr="000B4D97">
        <w:rPr>
          <w:rFonts w:eastAsiaTheme="minorEastAsia"/>
          <w:szCs w:val="24"/>
          <w:vertAlign w:val="subscript"/>
          <w:lang w:val="en-US" w:bidi="lo-LA"/>
        </w:rPr>
        <w:t>0Th</w:t>
      </w:r>
      <w:r w:rsidR="00B47E7A">
        <w:rPr>
          <w:rFonts w:eastAsiaTheme="minorEastAsia"/>
          <w:szCs w:val="24"/>
          <w:lang w:val="en-US" w:bidi="lo-LA"/>
        </w:rPr>
        <w:t xml:space="preserve"> + 0.080 </w:t>
      </w:r>
      <w:r w:rsidRPr="009A5118">
        <w:rPr>
          <w:rFonts w:eastAsiaTheme="minorEastAsia"/>
          <w:szCs w:val="24"/>
          <w:lang w:val="en-US" w:bidi="lo-LA"/>
        </w:rPr>
        <w:t xml:space="preserve">× </w:t>
      </w:r>
      <w:r w:rsidRPr="000B4D97">
        <w:rPr>
          <w:rFonts w:eastAsiaTheme="minorEastAsia"/>
          <w:szCs w:val="24"/>
          <w:lang w:val="en-US" w:bidi="lo-LA"/>
        </w:rPr>
        <w:t>A</w:t>
      </w:r>
      <w:r w:rsidRPr="000B4D97">
        <w:rPr>
          <w:rFonts w:eastAsiaTheme="minorEastAsia"/>
          <w:szCs w:val="24"/>
          <w:vertAlign w:val="subscript"/>
          <w:lang w:val="en-US" w:bidi="lo-LA"/>
        </w:rPr>
        <w:t>0K</w:t>
      </w:r>
      <w:r w:rsidR="00E45EA8">
        <w:rPr>
          <w:rFonts w:eastAsiaTheme="minorEastAsia"/>
          <w:szCs w:val="24"/>
          <w:vertAlign w:val="subscript"/>
          <w:lang w:val="en-US" w:bidi="lo-LA"/>
        </w:rPr>
        <w:tab/>
      </w:r>
      <w:r w:rsidR="001E600B">
        <w:rPr>
          <w:rFonts w:eastAsiaTheme="minorEastAsia"/>
          <w:szCs w:val="24"/>
          <w:lang w:val="en-US" w:bidi="lo-LA"/>
        </w:rPr>
        <w:t>(3)</w:t>
      </w:r>
    </w:p>
    <w:p w:rsidR="009A5118" w:rsidRDefault="009A5118" w:rsidP="005B2206">
      <w:pPr>
        <w:pStyle w:val="ListParagraph"/>
        <w:tabs>
          <w:tab w:val="left" w:pos="7935"/>
        </w:tabs>
        <w:spacing w:before="120" w:after="120"/>
        <w:ind w:left="0"/>
        <w:contextualSpacing w:val="0"/>
        <w:jc w:val="both"/>
        <w:rPr>
          <w:rFonts w:eastAsiaTheme="minorEastAsia"/>
          <w:szCs w:val="24"/>
          <w:lang w:val="en-US" w:bidi="lo-LA"/>
        </w:rPr>
      </w:pPr>
      <w:r w:rsidRPr="009A5118">
        <w:rPr>
          <w:rFonts w:eastAsiaTheme="minorEastAsia"/>
          <w:szCs w:val="24"/>
          <w:lang w:val="en-US" w:bidi="lo-LA"/>
        </w:rPr>
        <w:t xml:space="preserve">where  </w:t>
      </w:r>
      <w:r w:rsidR="004646C9" w:rsidRPr="000B4D97">
        <w:rPr>
          <w:rFonts w:eastAsiaTheme="minorEastAsia"/>
          <w:szCs w:val="24"/>
          <w:lang w:val="en-US" w:bidi="lo-LA"/>
        </w:rPr>
        <w:t>A</w:t>
      </w:r>
      <w:r w:rsidR="004646C9" w:rsidRPr="000B4D97">
        <w:rPr>
          <w:rFonts w:eastAsiaTheme="minorEastAsia"/>
          <w:szCs w:val="24"/>
          <w:vertAlign w:val="subscript"/>
          <w:lang w:val="en-US" w:bidi="lo-LA"/>
        </w:rPr>
        <w:t>0Ra</w:t>
      </w:r>
      <w:r w:rsidRPr="009A5118">
        <w:rPr>
          <w:rFonts w:eastAsiaTheme="minorEastAsia"/>
          <w:szCs w:val="24"/>
          <w:lang w:val="en-US" w:bidi="lo-LA"/>
        </w:rPr>
        <w:t xml:space="preserve">,  </w:t>
      </w:r>
      <w:r w:rsidR="004646C9" w:rsidRPr="000B4D97">
        <w:rPr>
          <w:rFonts w:eastAsiaTheme="minorEastAsia"/>
          <w:szCs w:val="24"/>
          <w:lang w:val="en-US" w:bidi="lo-LA"/>
        </w:rPr>
        <w:t>A</w:t>
      </w:r>
      <w:r w:rsidR="004646C9" w:rsidRPr="000B4D97">
        <w:rPr>
          <w:rFonts w:eastAsiaTheme="minorEastAsia"/>
          <w:szCs w:val="24"/>
          <w:vertAlign w:val="subscript"/>
          <w:lang w:val="en-US" w:bidi="lo-LA"/>
        </w:rPr>
        <w:t>0Th</w:t>
      </w:r>
      <w:r w:rsidRPr="009A5118">
        <w:rPr>
          <w:rFonts w:eastAsiaTheme="minorEastAsia"/>
          <w:szCs w:val="24"/>
          <w:lang w:val="en-US" w:bidi="lo-LA"/>
        </w:rPr>
        <w:t xml:space="preserve">, and  </w:t>
      </w:r>
      <w:r w:rsidR="004646C9" w:rsidRPr="000B4D97">
        <w:rPr>
          <w:rFonts w:eastAsiaTheme="minorEastAsia"/>
          <w:szCs w:val="24"/>
          <w:lang w:val="en-US" w:bidi="lo-LA"/>
        </w:rPr>
        <w:t>A</w:t>
      </w:r>
      <w:r w:rsidR="004646C9" w:rsidRPr="000B4D97">
        <w:rPr>
          <w:rFonts w:eastAsiaTheme="minorEastAsia"/>
          <w:szCs w:val="24"/>
          <w:vertAlign w:val="subscript"/>
          <w:lang w:val="en-US" w:bidi="lo-LA"/>
        </w:rPr>
        <w:t>0K</w:t>
      </w:r>
      <w:r w:rsidRPr="009A5118">
        <w:rPr>
          <w:rFonts w:eastAsiaTheme="minorEastAsia"/>
          <w:szCs w:val="24"/>
          <w:lang w:val="en-US" w:bidi="lo-LA"/>
        </w:rPr>
        <w:t xml:space="preserve"> are  the  activity  concentration  of</w:t>
      </w:r>
      <w:r w:rsidR="00B47E7A">
        <w:rPr>
          <w:rFonts w:eastAsiaTheme="minorEastAsia"/>
          <w:szCs w:val="24"/>
          <w:lang w:val="en-US" w:bidi="lo-LA"/>
        </w:rPr>
        <w:t xml:space="preserve"> </w:t>
      </w:r>
      <w:r w:rsidRPr="009A5118">
        <w:rPr>
          <w:rFonts w:eastAsiaTheme="minorEastAsia"/>
          <w:szCs w:val="24"/>
          <w:vertAlign w:val="superscript"/>
          <w:lang w:val="en-US" w:bidi="lo-LA"/>
        </w:rPr>
        <w:t>226</w:t>
      </w:r>
      <w:r w:rsidRPr="009A5118">
        <w:rPr>
          <w:rFonts w:eastAsiaTheme="minorEastAsia"/>
          <w:szCs w:val="24"/>
          <w:lang w:val="en-US" w:bidi="lo-LA"/>
        </w:rPr>
        <w:t>Ra,</w:t>
      </w:r>
      <w:r w:rsidRPr="009A5118">
        <w:rPr>
          <w:rFonts w:eastAsiaTheme="minorEastAsia"/>
          <w:szCs w:val="24"/>
          <w:vertAlign w:val="superscript"/>
          <w:lang w:val="en-US" w:bidi="lo-LA"/>
        </w:rPr>
        <w:t>232</w:t>
      </w:r>
      <w:r w:rsidRPr="009A5118">
        <w:rPr>
          <w:rFonts w:eastAsiaTheme="minorEastAsia"/>
          <w:szCs w:val="24"/>
          <w:lang w:val="en-US" w:bidi="lo-LA"/>
        </w:rPr>
        <w:t xml:space="preserve">Th  and </w:t>
      </w:r>
      <w:r w:rsidRPr="009A5118">
        <w:rPr>
          <w:rFonts w:eastAsiaTheme="minorEastAsia"/>
          <w:szCs w:val="24"/>
          <w:vertAlign w:val="superscript"/>
          <w:lang w:val="en-US" w:bidi="lo-LA"/>
        </w:rPr>
        <w:t>40</w:t>
      </w:r>
      <w:r w:rsidRPr="009A5118">
        <w:rPr>
          <w:rFonts w:eastAsiaTheme="minorEastAsia"/>
          <w:szCs w:val="24"/>
          <w:lang w:val="en-US" w:bidi="lo-LA"/>
        </w:rPr>
        <w:t xml:space="preserve">K  in </w:t>
      </w:r>
      <w:r>
        <w:rPr>
          <w:rFonts w:eastAsiaTheme="minorEastAsia"/>
          <w:szCs w:val="24"/>
          <w:lang w:val="en-US" w:bidi="lo-LA"/>
        </w:rPr>
        <w:t>(Bq</w:t>
      </w:r>
      <w:r w:rsidR="00753AAC">
        <w:rPr>
          <w:rFonts w:eastAsiaTheme="minorEastAsia"/>
          <w:szCs w:val="24"/>
          <w:lang w:val="en-US" w:bidi="lo-LA"/>
        </w:rPr>
        <w:t>.</w:t>
      </w:r>
      <w:r w:rsidRPr="009A5118">
        <w:rPr>
          <w:rFonts w:eastAsiaTheme="minorEastAsia"/>
          <w:szCs w:val="24"/>
          <w:lang w:val="en-US" w:bidi="lo-LA"/>
        </w:rPr>
        <w:t>kg</w:t>
      </w:r>
      <w:r w:rsidRPr="009A5118">
        <w:rPr>
          <w:rFonts w:eastAsiaTheme="minorEastAsia"/>
          <w:szCs w:val="24"/>
          <w:vertAlign w:val="superscript"/>
          <w:lang w:val="en-US" w:bidi="lo-LA"/>
        </w:rPr>
        <w:t>−1</w:t>
      </w:r>
      <w:r w:rsidRPr="009A5118">
        <w:rPr>
          <w:rFonts w:eastAsiaTheme="minorEastAsia"/>
          <w:szCs w:val="24"/>
          <w:lang w:val="en-US" w:bidi="lo-LA"/>
        </w:rPr>
        <w:t>), respectively.</w:t>
      </w:r>
    </w:p>
    <w:p w:rsidR="008B0ED3" w:rsidRDefault="00B47E7A" w:rsidP="005B2206">
      <w:pPr>
        <w:spacing w:before="120" w:after="120"/>
        <w:ind w:firstLine="720"/>
        <w:jc w:val="thaiDistribute"/>
        <w:rPr>
          <w:szCs w:val="24"/>
          <w:lang w:val="en-US" w:bidi="lo-LA"/>
        </w:rPr>
      </w:pPr>
      <w:r w:rsidRPr="00B47E7A">
        <w:rPr>
          <w:rFonts w:cs="Times New Roman"/>
          <w:color w:val="FF0000"/>
          <w:szCs w:val="24"/>
          <w:lang w:val="en-US"/>
        </w:rPr>
        <w:t>Absorbed gamma</w:t>
      </w:r>
      <w:r w:rsidRPr="00B47E7A">
        <w:rPr>
          <w:color w:val="FF0000"/>
          <w:szCs w:val="24"/>
          <w:lang w:val="en-US"/>
        </w:rPr>
        <w:t xml:space="preserve"> </w:t>
      </w:r>
      <w:r w:rsidR="008B0ED3" w:rsidRPr="00B47E7A">
        <w:rPr>
          <w:color w:val="FF0000"/>
          <w:szCs w:val="24"/>
          <w:lang w:val="en-US"/>
        </w:rPr>
        <w:t xml:space="preserve">dose  rate  </w:t>
      </w:r>
      <w:r w:rsidRPr="00B47E7A">
        <w:rPr>
          <w:color w:val="FF0000"/>
          <w:szCs w:val="24"/>
          <w:lang w:val="en-US"/>
        </w:rPr>
        <w:t>were used</w:t>
      </w:r>
      <w:r>
        <w:rPr>
          <w:szCs w:val="24"/>
          <w:lang w:val="en-US"/>
        </w:rPr>
        <w:t xml:space="preserve"> </w:t>
      </w:r>
      <w:r w:rsidR="008B0ED3">
        <w:rPr>
          <w:szCs w:val="24"/>
          <w:lang w:val="en-US"/>
        </w:rPr>
        <w:t>t</w:t>
      </w:r>
      <w:r w:rsidR="008B0ED3" w:rsidRPr="004232C2">
        <w:rPr>
          <w:szCs w:val="24"/>
          <w:lang w:val="en-US"/>
        </w:rPr>
        <w:t>o  estimate  the  annual  effect</w:t>
      </w:r>
      <w:r w:rsidR="008B0ED3">
        <w:rPr>
          <w:szCs w:val="24"/>
          <w:lang w:val="en-US"/>
        </w:rPr>
        <w:t>ive  dose  rate</w:t>
      </w:r>
      <w:r w:rsidRPr="00B47E7A">
        <w:rPr>
          <w:color w:val="FF0000"/>
          <w:szCs w:val="24"/>
          <w:lang w:val="en-US"/>
        </w:rPr>
        <w:t>.</w:t>
      </w:r>
      <w:r w:rsidR="008B0ED3" w:rsidRPr="00B47E7A">
        <w:rPr>
          <w:color w:val="FF0000"/>
          <w:szCs w:val="24"/>
          <w:lang w:val="en-US"/>
        </w:rPr>
        <w:t xml:space="preserve">  </w:t>
      </w:r>
      <w:r w:rsidRPr="00B47E7A">
        <w:rPr>
          <w:color w:val="FF0000"/>
          <w:szCs w:val="24"/>
          <w:lang w:val="en-US"/>
        </w:rPr>
        <w:t>I</w:t>
      </w:r>
      <w:r w:rsidR="008B0ED3" w:rsidRPr="00B47E7A">
        <w:rPr>
          <w:color w:val="FF0000"/>
          <w:szCs w:val="24"/>
          <w:lang w:val="en-US"/>
        </w:rPr>
        <w:t xml:space="preserve">t </w:t>
      </w:r>
      <w:r w:rsidR="008B0ED3">
        <w:rPr>
          <w:szCs w:val="24"/>
          <w:lang w:val="en-US"/>
        </w:rPr>
        <w:t xml:space="preserve"> is  neces</w:t>
      </w:r>
      <w:r w:rsidR="008B0ED3" w:rsidRPr="004232C2">
        <w:rPr>
          <w:szCs w:val="24"/>
          <w:lang w:val="en-US"/>
        </w:rPr>
        <w:t>sary  to  use  the  conversion  coefﬁcient  from  the  absorbed</w:t>
      </w:r>
      <w:r>
        <w:rPr>
          <w:szCs w:val="24"/>
          <w:lang w:val="en-US"/>
        </w:rPr>
        <w:t xml:space="preserve"> </w:t>
      </w:r>
      <w:r w:rsidR="008B0ED3" w:rsidRPr="004232C2">
        <w:rPr>
          <w:szCs w:val="24"/>
          <w:lang w:val="en-US"/>
        </w:rPr>
        <w:t>do</w:t>
      </w:r>
      <w:r w:rsidR="00B335BE">
        <w:rPr>
          <w:szCs w:val="24"/>
          <w:lang w:val="en-US"/>
        </w:rPr>
        <w:t>se</w:t>
      </w:r>
      <w:r w:rsidR="008B0ED3" w:rsidRPr="004232C2">
        <w:rPr>
          <w:szCs w:val="24"/>
          <w:lang w:val="en-US"/>
        </w:rPr>
        <w:t xml:space="preserve">  in  air  to  </w:t>
      </w:r>
      <w:r w:rsidR="008B0ED3">
        <w:rPr>
          <w:szCs w:val="24"/>
          <w:lang w:val="en-US"/>
        </w:rPr>
        <w:t>the  effective  dose  (0.7 Sv</w:t>
      </w:r>
      <w:r w:rsidR="008B0ED3" w:rsidRPr="004232C2">
        <w:rPr>
          <w:szCs w:val="24"/>
          <w:lang w:val="en-US"/>
        </w:rPr>
        <w:t>Gy</w:t>
      </w:r>
      <w:r w:rsidR="008B0ED3" w:rsidRPr="00A22097">
        <w:rPr>
          <w:szCs w:val="24"/>
          <w:vertAlign w:val="superscript"/>
          <w:lang w:val="en-US"/>
        </w:rPr>
        <w:t>−1</w:t>
      </w:r>
      <w:r w:rsidR="008B0ED3" w:rsidRPr="004232C2">
        <w:rPr>
          <w:szCs w:val="24"/>
          <w:lang w:val="en-US"/>
        </w:rPr>
        <w:t>)  and  the</w:t>
      </w:r>
      <w:r>
        <w:rPr>
          <w:szCs w:val="24"/>
          <w:lang w:val="en-US"/>
        </w:rPr>
        <w:t xml:space="preserve"> </w:t>
      </w:r>
      <w:r w:rsidR="008B0ED3" w:rsidRPr="004232C2">
        <w:rPr>
          <w:szCs w:val="24"/>
          <w:lang w:val="en-US"/>
        </w:rPr>
        <w:t>outdoo</w:t>
      </w:r>
      <w:r w:rsidR="008B0ED3">
        <w:rPr>
          <w:szCs w:val="24"/>
          <w:lang w:val="en-US"/>
        </w:rPr>
        <w:t>r  occupancy  factor  (0.2Sv</w:t>
      </w:r>
      <w:r w:rsidR="008B0ED3" w:rsidRPr="004232C2">
        <w:rPr>
          <w:szCs w:val="24"/>
          <w:lang w:val="en-US"/>
        </w:rPr>
        <w:t>Gy</w:t>
      </w:r>
      <w:r w:rsidR="008B0ED3" w:rsidRPr="00A22097">
        <w:rPr>
          <w:szCs w:val="24"/>
          <w:vertAlign w:val="superscript"/>
          <w:lang w:val="en-US"/>
        </w:rPr>
        <w:t>−1</w:t>
      </w:r>
      <w:r w:rsidR="008B0ED3" w:rsidRPr="004232C2">
        <w:rPr>
          <w:szCs w:val="24"/>
          <w:lang w:val="en-US"/>
        </w:rPr>
        <w:t>) proposed  by</w:t>
      </w:r>
      <w:r w:rsidR="001E600B">
        <w:rPr>
          <w:szCs w:val="24"/>
          <w:lang w:val="en-US"/>
        </w:rPr>
        <w:t xml:space="preserve"> </w:t>
      </w:r>
      <w:r w:rsidR="008B0ED3" w:rsidRPr="004232C2">
        <w:rPr>
          <w:szCs w:val="24"/>
          <w:lang w:val="en-US"/>
        </w:rPr>
        <w:t>UNSCEAR [</w:t>
      </w:r>
      <w:r w:rsidR="00911788">
        <w:rPr>
          <w:szCs w:val="24"/>
          <w:lang w:val="en-US"/>
        </w:rPr>
        <w:t>1</w:t>
      </w:r>
      <w:r w:rsidR="008B0ED3" w:rsidRPr="004232C2">
        <w:rPr>
          <w:szCs w:val="24"/>
          <w:lang w:val="en-US"/>
        </w:rPr>
        <w:t xml:space="preserve">].  Therefore,  the  </w:t>
      </w:r>
      <w:r w:rsidR="008402C5" w:rsidRPr="008402C5">
        <w:rPr>
          <w:rFonts w:eastAsiaTheme="minorEastAsia"/>
          <w:color w:val="FF0000"/>
          <w:szCs w:val="24"/>
          <w:lang w:val="en-US" w:bidi="lo-LA"/>
        </w:rPr>
        <w:t>outdoor</w:t>
      </w:r>
      <w:r w:rsidR="008402C5" w:rsidRPr="004232C2">
        <w:rPr>
          <w:szCs w:val="24"/>
          <w:lang w:val="en-US"/>
        </w:rPr>
        <w:t xml:space="preserve"> </w:t>
      </w:r>
      <w:r w:rsidR="008B0ED3" w:rsidRPr="004232C2">
        <w:rPr>
          <w:szCs w:val="24"/>
          <w:lang w:val="en-US"/>
        </w:rPr>
        <w:t>effective  dose  rate  is</w:t>
      </w:r>
      <w:r w:rsidR="008128A0">
        <w:rPr>
          <w:szCs w:val="24"/>
          <w:lang w:val="en-US"/>
        </w:rPr>
        <w:t xml:space="preserve"> </w:t>
      </w:r>
      <w:r w:rsidR="008B0ED3" w:rsidRPr="004232C2">
        <w:rPr>
          <w:szCs w:val="24"/>
          <w:lang w:val="en-US"/>
        </w:rPr>
        <w:t>determined  as  follows:</w:t>
      </w:r>
    </w:p>
    <w:p w:rsidR="00AE4F21" w:rsidRDefault="005B2206" w:rsidP="005B2206">
      <w:pPr>
        <w:spacing w:before="120" w:after="120"/>
        <w:ind w:firstLine="720"/>
        <w:jc w:val="center"/>
        <w:rPr>
          <w:szCs w:val="24"/>
          <w:lang w:val="en-US"/>
        </w:rPr>
      </w:pPr>
      <w:r>
        <w:rPr>
          <w:szCs w:val="24"/>
          <w:lang w:val="en-US" w:bidi="lo-LA"/>
        </w:rPr>
        <w:tab/>
      </w:r>
      <w:r w:rsidR="004646C9">
        <w:rPr>
          <w:szCs w:val="24"/>
          <w:lang w:val="en-US" w:bidi="lo-LA"/>
        </w:rPr>
        <w:t>E</w:t>
      </w:r>
      <w:r w:rsidR="008B0ED3">
        <w:rPr>
          <w:szCs w:val="24"/>
          <w:lang w:val="en-US"/>
        </w:rPr>
        <w:t>(mSv</w:t>
      </w:r>
      <w:r w:rsidR="008B0ED3" w:rsidRPr="00307F0C">
        <w:rPr>
          <w:szCs w:val="24"/>
          <w:lang w:val="en-US"/>
        </w:rPr>
        <w:t>y</w:t>
      </w:r>
      <w:r w:rsidR="008B0ED3" w:rsidRPr="00E45EA8">
        <w:rPr>
          <w:szCs w:val="24"/>
          <w:vertAlign w:val="superscript"/>
          <w:lang w:val="en-US"/>
        </w:rPr>
        <w:t>−1</w:t>
      </w:r>
      <w:r w:rsidR="008B0ED3">
        <w:rPr>
          <w:szCs w:val="24"/>
          <w:lang w:val="en-US"/>
        </w:rPr>
        <w:t xml:space="preserve">)  = </w:t>
      </w:r>
      <w:r w:rsidR="008B0ED3" w:rsidRPr="008128A0">
        <w:rPr>
          <w:color w:val="000000" w:themeColor="text1"/>
          <w:szCs w:val="24"/>
          <w:lang w:val="en-US"/>
        </w:rPr>
        <w:t xml:space="preserve"> D</w:t>
      </w:r>
      <w:r w:rsidR="009743F5" w:rsidRPr="008128A0">
        <w:rPr>
          <w:color w:val="000000" w:themeColor="text1"/>
          <w:szCs w:val="24"/>
          <w:lang w:val="en-US"/>
        </w:rPr>
        <w:t xml:space="preserve"> (nGy</w:t>
      </w:r>
      <w:r w:rsidR="008B0ED3" w:rsidRPr="008128A0">
        <w:rPr>
          <w:color w:val="000000" w:themeColor="text1"/>
          <w:szCs w:val="24"/>
          <w:lang w:val="en-US"/>
        </w:rPr>
        <w:t>h</w:t>
      </w:r>
      <w:r w:rsidR="008B0ED3" w:rsidRPr="008128A0">
        <w:rPr>
          <w:color w:val="000000" w:themeColor="text1"/>
          <w:szCs w:val="24"/>
          <w:vertAlign w:val="superscript"/>
          <w:lang w:val="en-US"/>
        </w:rPr>
        <w:t>−1</w:t>
      </w:r>
      <w:r w:rsidR="008128A0" w:rsidRPr="008128A0">
        <w:rPr>
          <w:color w:val="000000" w:themeColor="text1"/>
          <w:szCs w:val="24"/>
          <w:lang w:val="en-US"/>
        </w:rPr>
        <w:t>)</w:t>
      </w:r>
      <w:r w:rsidR="008402C5">
        <w:rPr>
          <w:color w:val="000000" w:themeColor="text1"/>
          <w:szCs w:val="24"/>
          <w:lang w:val="en-US"/>
        </w:rPr>
        <w:t xml:space="preserve"> </w:t>
      </w:r>
      <w:r w:rsidR="008B0ED3" w:rsidRPr="008128A0">
        <w:rPr>
          <w:color w:val="000000" w:themeColor="text1"/>
          <w:szCs w:val="24"/>
          <w:lang w:val="en-US"/>
        </w:rPr>
        <w:t>×</w:t>
      </w:r>
      <w:r w:rsidR="008402C5">
        <w:rPr>
          <w:color w:val="000000" w:themeColor="text1"/>
          <w:szCs w:val="24"/>
          <w:lang w:val="en-US"/>
        </w:rPr>
        <w:t xml:space="preserve"> </w:t>
      </w:r>
      <w:r w:rsidR="008B0ED3" w:rsidRPr="008128A0">
        <w:rPr>
          <w:color w:val="000000" w:themeColor="text1"/>
          <w:szCs w:val="24"/>
          <w:lang w:val="en-US"/>
        </w:rPr>
        <w:t>8760h ×</w:t>
      </w:r>
      <w:r w:rsidR="008402C5">
        <w:rPr>
          <w:color w:val="000000" w:themeColor="text1"/>
          <w:szCs w:val="24"/>
          <w:lang w:val="en-US"/>
        </w:rPr>
        <w:t xml:space="preserve"> </w:t>
      </w:r>
      <w:r w:rsidR="008B0ED3" w:rsidRPr="008128A0">
        <w:rPr>
          <w:color w:val="000000" w:themeColor="text1"/>
          <w:szCs w:val="24"/>
          <w:lang w:val="en-US"/>
        </w:rPr>
        <w:t>0.2</w:t>
      </w:r>
      <w:r w:rsidR="008402C5">
        <w:rPr>
          <w:color w:val="000000" w:themeColor="text1"/>
          <w:szCs w:val="24"/>
          <w:lang w:val="en-US"/>
        </w:rPr>
        <w:t xml:space="preserve"> </w:t>
      </w:r>
      <w:r w:rsidR="008B0ED3" w:rsidRPr="008128A0">
        <w:rPr>
          <w:color w:val="000000" w:themeColor="text1"/>
          <w:szCs w:val="24"/>
          <w:lang w:val="en-US"/>
        </w:rPr>
        <w:t>×</w:t>
      </w:r>
      <w:r w:rsidR="008402C5">
        <w:rPr>
          <w:color w:val="000000" w:themeColor="text1"/>
          <w:szCs w:val="24"/>
          <w:lang w:val="en-US"/>
        </w:rPr>
        <w:t xml:space="preserve"> </w:t>
      </w:r>
      <w:r w:rsidR="008B0ED3" w:rsidRPr="008128A0">
        <w:rPr>
          <w:color w:val="000000" w:themeColor="text1"/>
          <w:szCs w:val="24"/>
          <w:lang w:val="en-US"/>
        </w:rPr>
        <w:t>0.7 SvGy</w:t>
      </w:r>
      <w:r w:rsidR="008B0ED3" w:rsidRPr="008128A0">
        <w:rPr>
          <w:color w:val="000000" w:themeColor="text1"/>
          <w:szCs w:val="24"/>
          <w:vertAlign w:val="superscript"/>
          <w:lang w:val="en-US"/>
        </w:rPr>
        <w:t>−1</w:t>
      </w:r>
      <w:r w:rsidR="008128A0" w:rsidRPr="008402C5">
        <w:rPr>
          <w:color w:val="0000CC"/>
          <w:szCs w:val="24"/>
          <w:vertAlign w:val="superscript"/>
          <w:lang w:val="en-US"/>
        </w:rPr>
        <w:t xml:space="preserve"> </w:t>
      </w:r>
      <w:r w:rsidR="008B0ED3" w:rsidRPr="008402C5">
        <w:rPr>
          <w:color w:val="0000CC"/>
          <w:szCs w:val="24"/>
          <w:lang w:val="en-US"/>
        </w:rPr>
        <w:t>× 10</w:t>
      </w:r>
      <w:r w:rsidR="008B0ED3" w:rsidRPr="008402C5">
        <w:rPr>
          <w:color w:val="0000CC"/>
          <w:szCs w:val="24"/>
          <w:vertAlign w:val="superscript"/>
          <w:lang w:val="en-US"/>
        </w:rPr>
        <w:t>−6</w:t>
      </w:r>
      <w:r w:rsidR="001E600B" w:rsidRPr="008402C5">
        <w:rPr>
          <w:color w:val="0000CC"/>
          <w:szCs w:val="24"/>
          <w:lang w:val="en-US"/>
        </w:rPr>
        <w:t xml:space="preserve"> </w:t>
      </w:r>
      <w:r w:rsidR="001E600B">
        <w:rPr>
          <w:szCs w:val="24"/>
          <w:lang w:val="en-US"/>
        </w:rPr>
        <w:t xml:space="preserve">                 </w:t>
      </w:r>
      <w:r w:rsidR="002111C2">
        <w:rPr>
          <w:szCs w:val="24"/>
          <w:lang w:val="en-US"/>
        </w:rPr>
        <w:t>(4)</w:t>
      </w:r>
    </w:p>
    <w:p w:rsidR="005B2206" w:rsidRPr="008402C5" w:rsidRDefault="005B2206" w:rsidP="005B2206">
      <w:pPr>
        <w:spacing w:before="120" w:after="120"/>
        <w:rPr>
          <w:color w:val="0000CC"/>
          <w:szCs w:val="24"/>
          <w:lang w:val="en-US"/>
        </w:rPr>
      </w:pPr>
      <w:r>
        <w:rPr>
          <w:szCs w:val="24"/>
          <w:lang w:val="en-US"/>
        </w:rPr>
        <w:t>o</w:t>
      </w:r>
      <w:r w:rsidR="002111C2">
        <w:rPr>
          <w:szCs w:val="24"/>
          <w:lang w:val="en-US"/>
        </w:rPr>
        <w:t>r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ED11D1" w:rsidRPr="008402C5">
        <w:rPr>
          <w:color w:val="0000CC"/>
          <w:szCs w:val="24"/>
          <w:lang w:val="en-US"/>
        </w:rPr>
        <w:t xml:space="preserve">   </w:t>
      </w:r>
      <w:r w:rsidR="004646C9" w:rsidRPr="008402C5">
        <w:rPr>
          <w:color w:val="0000CC"/>
          <w:szCs w:val="24"/>
          <w:lang w:val="en-US"/>
        </w:rPr>
        <w:t>E</w:t>
      </w:r>
      <w:r w:rsidR="008B0ED3" w:rsidRPr="008402C5">
        <w:rPr>
          <w:color w:val="0000CC"/>
          <w:szCs w:val="24"/>
          <w:lang w:val="en-US"/>
        </w:rPr>
        <w:t>(mSvy</w:t>
      </w:r>
      <w:r w:rsidR="008B0ED3" w:rsidRPr="008402C5">
        <w:rPr>
          <w:color w:val="0000CC"/>
          <w:szCs w:val="24"/>
          <w:vertAlign w:val="superscript"/>
          <w:lang w:val="en-US"/>
        </w:rPr>
        <w:t>−1</w:t>
      </w:r>
      <w:r w:rsidR="008B0ED3" w:rsidRPr="008402C5">
        <w:rPr>
          <w:color w:val="0000CC"/>
          <w:szCs w:val="24"/>
          <w:lang w:val="en-US"/>
        </w:rPr>
        <w:t>) = D(nGyh</w:t>
      </w:r>
      <w:r w:rsidR="008B0ED3" w:rsidRPr="008402C5">
        <w:rPr>
          <w:color w:val="0000CC"/>
          <w:szCs w:val="24"/>
          <w:vertAlign w:val="superscript"/>
          <w:lang w:val="en-US"/>
        </w:rPr>
        <w:t>−1</w:t>
      </w:r>
      <w:r w:rsidR="008B0ED3" w:rsidRPr="008402C5">
        <w:rPr>
          <w:color w:val="0000CC"/>
          <w:szCs w:val="24"/>
          <w:lang w:val="en-US"/>
        </w:rPr>
        <w:t>)  ×  0.00123</w:t>
      </w:r>
    </w:p>
    <w:p w:rsidR="002C3D92" w:rsidRPr="008B0ED3" w:rsidRDefault="002C3D92" w:rsidP="005B2206">
      <w:pPr>
        <w:spacing w:before="120" w:after="120"/>
        <w:rPr>
          <w:szCs w:val="24"/>
          <w:lang w:val="en-US"/>
        </w:rPr>
      </w:pPr>
      <w:r w:rsidRPr="002C3D92">
        <w:rPr>
          <w:szCs w:val="24"/>
          <w:lang w:val="en-US"/>
        </w:rPr>
        <w:t>where D is the dose rate in nGy</w:t>
      </w:r>
      <w:r w:rsidR="000E7F00">
        <w:rPr>
          <w:szCs w:val="24"/>
          <w:lang w:val="en-US"/>
        </w:rPr>
        <w:t>.</w:t>
      </w:r>
      <w:r w:rsidRPr="002C3D92">
        <w:rPr>
          <w:szCs w:val="24"/>
          <w:lang w:val="en-US"/>
        </w:rPr>
        <w:t xml:space="preserve"> h</w:t>
      </w:r>
      <w:r w:rsidRPr="002C3D92">
        <w:rPr>
          <w:szCs w:val="24"/>
          <w:vertAlign w:val="superscript"/>
          <w:lang w:val="en-US"/>
        </w:rPr>
        <w:t>−1</w:t>
      </w:r>
      <w:r w:rsidRPr="002C3D92">
        <w:rPr>
          <w:szCs w:val="24"/>
          <w:lang w:val="en-US"/>
        </w:rPr>
        <w:t>.</w:t>
      </w:r>
    </w:p>
    <w:p w:rsidR="00096EF9" w:rsidRPr="005B2206" w:rsidRDefault="00096EF9" w:rsidP="005B2206">
      <w:pPr>
        <w:pStyle w:val="ListParagraph"/>
        <w:spacing w:before="120" w:after="120"/>
        <w:ind w:left="0"/>
        <w:contextualSpacing w:val="0"/>
        <w:jc w:val="thaiDistribute"/>
        <w:rPr>
          <w:rFonts w:eastAsiaTheme="minorEastAsia"/>
          <w:b/>
          <w:bCs/>
          <w:i/>
          <w:szCs w:val="24"/>
          <w:lang w:val="en-US" w:bidi="lo-LA"/>
        </w:rPr>
      </w:pPr>
      <w:r w:rsidRPr="005B2206">
        <w:rPr>
          <w:rFonts w:eastAsiaTheme="minorEastAsia"/>
          <w:b/>
          <w:bCs/>
          <w:i/>
          <w:szCs w:val="24"/>
          <w:lang w:val="en-US" w:bidi="lo-LA"/>
        </w:rPr>
        <w:t>2.</w:t>
      </w:r>
      <w:r w:rsidR="00AD3FFA" w:rsidRPr="005B2206">
        <w:rPr>
          <w:rFonts w:eastAsiaTheme="minorEastAsia"/>
          <w:b/>
          <w:bCs/>
          <w:i/>
          <w:szCs w:val="24"/>
          <w:lang w:val="en-US" w:bidi="lo-LA"/>
        </w:rPr>
        <w:t>3</w:t>
      </w:r>
      <w:r w:rsidRPr="005B2206">
        <w:rPr>
          <w:rFonts w:eastAsiaTheme="minorEastAsia"/>
          <w:b/>
          <w:bCs/>
          <w:i/>
          <w:szCs w:val="24"/>
          <w:lang w:val="en-US" w:bidi="lo-LA"/>
        </w:rPr>
        <w:t xml:space="preserve">.3 </w:t>
      </w:r>
      <w:r w:rsidR="002D01A6" w:rsidRPr="005B2206">
        <w:rPr>
          <w:rFonts w:eastAsiaTheme="minorEastAsia"/>
          <w:b/>
          <w:bCs/>
          <w:i/>
          <w:szCs w:val="24"/>
          <w:lang w:val="en-US" w:bidi="lo-LA"/>
        </w:rPr>
        <w:t xml:space="preserve">External </w:t>
      </w:r>
      <w:r w:rsidRPr="005B2206">
        <w:rPr>
          <w:rFonts w:eastAsiaTheme="minorEastAsia"/>
          <w:b/>
          <w:bCs/>
          <w:i/>
          <w:szCs w:val="24"/>
          <w:lang w:val="en-US" w:bidi="lo-LA"/>
        </w:rPr>
        <w:t xml:space="preserve">and  </w:t>
      </w:r>
      <w:r w:rsidRPr="005B2206">
        <w:rPr>
          <w:b/>
          <w:bCs/>
          <w:i/>
          <w:szCs w:val="24"/>
          <w:lang w:val="en-US"/>
        </w:rPr>
        <w:t>Internal</w:t>
      </w:r>
      <w:r w:rsidR="008128A0">
        <w:rPr>
          <w:b/>
          <w:bCs/>
          <w:i/>
          <w:szCs w:val="24"/>
          <w:lang w:val="en-US"/>
        </w:rPr>
        <w:t xml:space="preserve"> </w:t>
      </w:r>
      <w:r w:rsidRPr="005B2206">
        <w:rPr>
          <w:rFonts w:eastAsiaTheme="minorEastAsia"/>
          <w:b/>
          <w:bCs/>
          <w:i/>
          <w:szCs w:val="24"/>
          <w:lang w:val="en-US" w:bidi="lo-LA"/>
        </w:rPr>
        <w:t>Hazard Index</w:t>
      </w:r>
    </w:p>
    <w:p w:rsidR="001E600B" w:rsidRDefault="00096EF9" w:rsidP="001E600B">
      <w:pPr>
        <w:pStyle w:val="ListParagraph"/>
        <w:spacing w:before="120" w:after="120"/>
        <w:ind w:left="0"/>
        <w:contextualSpacing w:val="0"/>
        <w:jc w:val="thaiDistribute"/>
        <w:rPr>
          <w:rFonts w:eastAsiaTheme="minorEastAsia"/>
          <w:b/>
          <w:bCs/>
          <w:szCs w:val="24"/>
          <w:lang w:val="en-US" w:bidi="lo-LA"/>
        </w:rPr>
      </w:pPr>
      <w:r w:rsidRPr="001F073C">
        <w:rPr>
          <w:rFonts w:eastAsiaTheme="minorEastAsia"/>
          <w:b/>
          <w:bCs/>
          <w:szCs w:val="24"/>
          <w:lang w:val="en-US" w:bidi="lo-LA"/>
        </w:rPr>
        <w:t xml:space="preserve">External </w:t>
      </w:r>
      <w:r>
        <w:rPr>
          <w:rFonts w:eastAsiaTheme="minorEastAsia"/>
          <w:b/>
          <w:bCs/>
          <w:szCs w:val="24"/>
          <w:lang w:val="en-US" w:bidi="lo-LA"/>
        </w:rPr>
        <w:t xml:space="preserve"> Hazard Index H</w:t>
      </w:r>
      <w:r w:rsidRPr="00096EF9">
        <w:rPr>
          <w:rFonts w:eastAsiaTheme="minorEastAsia"/>
          <w:b/>
          <w:bCs/>
          <w:szCs w:val="24"/>
          <w:vertAlign w:val="subscript"/>
          <w:lang w:val="en-US" w:bidi="lo-LA"/>
        </w:rPr>
        <w:t>ex</w:t>
      </w:r>
      <w:r>
        <w:rPr>
          <w:rFonts w:eastAsiaTheme="minorEastAsia"/>
          <w:b/>
          <w:bCs/>
          <w:szCs w:val="24"/>
          <w:lang w:val="en-US" w:bidi="lo-LA"/>
        </w:rPr>
        <w:t>:</w:t>
      </w:r>
      <w:r w:rsidR="001E600B">
        <w:rPr>
          <w:rFonts w:eastAsiaTheme="minorEastAsia"/>
          <w:b/>
          <w:bCs/>
          <w:szCs w:val="24"/>
          <w:lang w:val="en-US" w:bidi="lo-LA"/>
        </w:rPr>
        <w:t xml:space="preserve">  </w:t>
      </w:r>
      <w:r w:rsidR="002D01A6" w:rsidRPr="002D01A6">
        <w:rPr>
          <w:rFonts w:eastAsiaTheme="minorEastAsia"/>
          <w:szCs w:val="24"/>
          <w:lang w:val="en-US" w:bidi="lo-LA"/>
        </w:rPr>
        <w:t>Radiation exposure due to</w:t>
      </w:r>
      <w:r w:rsidR="008128A0">
        <w:rPr>
          <w:rFonts w:eastAsiaTheme="minorEastAsia"/>
          <w:szCs w:val="24"/>
          <w:lang w:val="en-US" w:bidi="lo-LA"/>
        </w:rPr>
        <w:t xml:space="preserve"> </w:t>
      </w:r>
      <w:r w:rsidR="002D01A6" w:rsidRPr="002D01A6">
        <w:rPr>
          <w:rFonts w:eastAsiaTheme="minorEastAsia"/>
          <w:szCs w:val="24"/>
          <w:vertAlign w:val="superscript"/>
          <w:lang w:val="en-US" w:bidi="lo-LA"/>
        </w:rPr>
        <w:t>226</w:t>
      </w:r>
      <w:r w:rsidR="002D01A6">
        <w:rPr>
          <w:rFonts w:eastAsiaTheme="minorEastAsia"/>
          <w:szCs w:val="24"/>
          <w:lang w:val="en-US" w:bidi="lo-LA"/>
        </w:rPr>
        <w:t xml:space="preserve">Ra, </w:t>
      </w:r>
      <w:r w:rsidR="002D01A6" w:rsidRPr="002D01A6">
        <w:rPr>
          <w:rFonts w:eastAsiaTheme="minorEastAsia"/>
          <w:szCs w:val="24"/>
          <w:vertAlign w:val="superscript"/>
          <w:lang w:val="en-US" w:bidi="lo-LA"/>
        </w:rPr>
        <w:t>232</w:t>
      </w:r>
      <w:r w:rsidR="002D01A6">
        <w:rPr>
          <w:rFonts w:eastAsiaTheme="minorEastAsia"/>
          <w:szCs w:val="24"/>
          <w:lang w:val="en-US" w:bidi="lo-LA"/>
        </w:rPr>
        <w:t xml:space="preserve">Th and </w:t>
      </w:r>
      <w:r w:rsidR="002D01A6" w:rsidRPr="002D01A6">
        <w:rPr>
          <w:rFonts w:eastAsiaTheme="minorEastAsia"/>
          <w:szCs w:val="24"/>
          <w:vertAlign w:val="superscript"/>
          <w:lang w:val="en-US" w:bidi="lo-LA"/>
        </w:rPr>
        <w:t>40</w:t>
      </w:r>
      <w:r w:rsidR="005E1B65">
        <w:rPr>
          <w:rFonts w:eastAsiaTheme="minorEastAsia"/>
          <w:szCs w:val="24"/>
          <w:lang w:val="en-US" w:bidi="lo-LA"/>
        </w:rPr>
        <w:t>K may</w:t>
      </w:r>
      <w:r w:rsidR="008128A0">
        <w:rPr>
          <w:rFonts w:eastAsiaTheme="minorEastAsia"/>
          <w:szCs w:val="24"/>
          <w:lang w:val="en-US" w:bidi="lo-LA"/>
        </w:rPr>
        <w:t xml:space="preserve"> </w:t>
      </w:r>
      <w:r w:rsidR="000E7F00">
        <w:rPr>
          <w:rFonts w:eastAsiaTheme="minorEastAsia"/>
          <w:szCs w:val="24"/>
          <w:lang w:val="en-US" w:bidi="lo-LA"/>
        </w:rPr>
        <w:t>be external</w:t>
      </w:r>
      <w:r w:rsidR="008128A0">
        <w:rPr>
          <w:rFonts w:eastAsiaTheme="minorEastAsia"/>
          <w:szCs w:val="24"/>
          <w:lang w:val="en-US" w:bidi="lo-LA"/>
        </w:rPr>
        <w:t xml:space="preserve">. </w:t>
      </w:r>
      <w:r w:rsidR="008128A0" w:rsidRPr="008128A0">
        <w:rPr>
          <w:rFonts w:eastAsiaTheme="minorEastAsia"/>
          <w:color w:val="FF0000"/>
          <w:szCs w:val="24"/>
          <w:lang w:val="en-US" w:bidi="lo-LA"/>
        </w:rPr>
        <w:t>This</w:t>
      </w:r>
      <w:r w:rsidR="000E7F00">
        <w:rPr>
          <w:rFonts w:eastAsiaTheme="minorEastAsia"/>
          <w:szCs w:val="24"/>
          <w:lang w:val="en-US" w:bidi="lo-LA"/>
        </w:rPr>
        <w:t xml:space="preserve"> </w:t>
      </w:r>
      <w:r w:rsidR="001F073C" w:rsidRPr="005E1B65">
        <w:rPr>
          <w:rFonts w:eastAsiaTheme="minorEastAsia"/>
          <w:szCs w:val="24"/>
          <w:lang w:val="en-US" w:bidi="lo-LA"/>
        </w:rPr>
        <w:t>hazard defined in terms of external  or  outdoor  radiation hazard index and denoted by H</w:t>
      </w:r>
      <w:r w:rsidR="001F073C" w:rsidRPr="005E1B65">
        <w:rPr>
          <w:rFonts w:eastAsiaTheme="minorEastAsia"/>
          <w:szCs w:val="24"/>
          <w:vertAlign w:val="subscript"/>
          <w:lang w:val="en-US" w:bidi="lo-LA"/>
        </w:rPr>
        <w:t>ex</w:t>
      </w:r>
      <w:r w:rsidR="001F073C" w:rsidRPr="005E1B65">
        <w:rPr>
          <w:rFonts w:eastAsiaTheme="minorEastAsia"/>
          <w:szCs w:val="24"/>
          <w:lang w:val="en-US" w:bidi="lo-LA"/>
        </w:rPr>
        <w:t xml:space="preserve"> , can be calculated using equation [7]:</w:t>
      </w:r>
    </w:p>
    <w:p w:rsidR="000E7F00" w:rsidRPr="00AE4F21" w:rsidRDefault="001E600B" w:rsidP="001E600B">
      <w:pPr>
        <w:pStyle w:val="ListParagraph"/>
        <w:spacing w:before="120" w:after="120"/>
        <w:ind w:left="0"/>
        <w:contextualSpacing w:val="0"/>
        <w:jc w:val="thaiDistribute"/>
        <w:rPr>
          <w:rFonts w:eastAsiaTheme="minorEastAsia"/>
          <w:b/>
          <w:bCs/>
          <w:szCs w:val="24"/>
          <w:lang w:val="en-US" w:bidi="lo-LA"/>
        </w:rPr>
      </w:pPr>
      <w:r>
        <w:rPr>
          <w:rFonts w:eastAsiaTheme="minorEastAsia"/>
          <w:b/>
          <w:bCs/>
          <w:szCs w:val="24"/>
          <w:lang w:val="en-US" w:bidi="lo-LA"/>
        </w:rPr>
        <w:t xml:space="preserve">                      </w:t>
      </w:r>
      <w:r w:rsidR="000B4D97" w:rsidRPr="000B4D97">
        <w:rPr>
          <w:rFonts w:eastAsiaTheme="minorEastAsia"/>
          <w:szCs w:val="24"/>
          <w:lang w:val="en-US" w:bidi="lo-LA"/>
        </w:rPr>
        <w:t>H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ex</w:t>
      </w:r>
      <w:r w:rsidR="000B4D97" w:rsidRPr="000B4D97">
        <w:rPr>
          <w:rFonts w:eastAsiaTheme="minorEastAsia"/>
          <w:szCs w:val="24"/>
          <w:lang w:val="en-US" w:bidi="lo-LA"/>
        </w:rPr>
        <w:t>=A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0Ra</w:t>
      </w:r>
      <w:r w:rsidR="000B4D97" w:rsidRPr="000B4D97">
        <w:rPr>
          <w:rFonts w:eastAsiaTheme="minorEastAsia"/>
          <w:szCs w:val="24"/>
          <w:lang w:val="en-US" w:bidi="lo-LA"/>
        </w:rPr>
        <w:t>/370 + 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0Th</w:t>
      </w:r>
      <w:r w:rsidR="00B4651E">
        <w:rPr>
          <w:rFonts w:eastAsiaTheme="minorEastAsia"/>
          <w:szCs w:val="24"/>
          <w:lang w:val="en-US" w:bidi="lo-LA"/>
        </w:rPr>
        <w:t>/259</w:t>
      </w:r>
      <w:r w:rsidR="000B4D97" w:rsidRPr="000B4D97">
        <w:rPr>
          <w:rFonts w:eastAsiaTheme="minorEastAsia"/>
          <w:szCs w:val="24"/>
          <w:lang w:val="en-US" w:bidi="lo-LA"/>
        </w:rPr>
        <w:t xml:space="preserve"> + A</w:t>
      </w:r>
      <w:r w:rsidR="000B4D97" w:rsidRPr="000B4D97">
        <w:rPr>
          <w:rFonts w:eastAsiaTheme="minorEastAsia"/>
          <w:szCs w:val="24"/>
          <w:vertAlign w:val="subscript"/>
          <w:lang w:val="en-US" w:bidi="lo-LA"/>
        </w:rPr>
        <w:t>0K</w:t>
      </w:r>
      <w:r w:rsidR="000B4D97" w:rsidRPr="000B4D97">
        <w:rPr>
          <w:rFonts w:eastAsiaTheme="minorEastAsia"/>
          <w:szCs w:val="24"/>
          <w:lang w:val="en-US" w:bidi="lo-LA"/>
        </w:rPr>
        <w:t xml:space="preserve">/4810 </w:t>
      </w:r>
      <w:r>
        <w:rPr>
          <w:rFonts w:eastAsiaTheme="minorEastAsia"/>
          <w:szCs w:val="24"/>
          <w:lang w:val="en-US" w:bidi="lo-LA"/>
        </w:rPr>
        <w:t xml:space="preserve">                                  </w:t>
      </w:r>
      <w:r w:rsidR="008128A0">
        <w:rPr>
          <w:rFonts w:eastAsiaTheme="minorEastAsia"/>
          <w:szCs w:val="24"/>
          <w:lang w:val="en-US" w:bidi="lo-LA"/>
        </w:rPr>
        <w:tab/>
      </w:r>
      <w:r w:rsidR="008128A0">
        <w:rPr>
          <w:rFonts w:eastAsiaTheme="minorEastAsia"/>
          <w:szCs w:val="24"/>
          <w:lang w:val="en-US" w:bidi="lo-LA"/>
        </w:rPr>
        <w:tab/>
      </w:r>
      <w:r w:rsidR="008128A0">
        <w:rPr>
          <w:rFonts w:eastAsiaTheme="minorEastAsia"/>
          <w:szCs w:val="24"/>
          <w:lang w:val="en-US" w:bidi="lo-LA"/>
        </w:rPr>
        <w:tab/>
      </w:r>
      <w:r w:rsidR="00D75551">
        <w:rPr>
          <w:rFonts w:eastAsiaTheme="minorEastAsia"/>
          <w:szCs w:val="24"/>
          <w:lang w:val="en-US" w:bidi="lo-LA"/>
        </w:rPr>
        <w:t>(</w:t>
      </w:r>
      <w:r w:rsidR="002111C2">
        <w:rPr>
          <w:rFonts w:eastAsiaTheme="minorEastAsia"/>
          <w:szCs w:val="24"/>
          <w:lang w:val="en-US" w:bidi="lo-LA"/>
        </w:rPr>
        <w:t>5</w:t>
      </w:r>
      <w:r w:rsidR="000B4D97" w:rsidRPr="000B4D97">
        <w:rPr>
          <w:rFonts w:eastAsiaTheme="minorEastAsia"/>
          <w:szCs w:val="24"/>
          <w:lang w:val="en-US" w:bidi="lo-LA"/>
        </w:rPr>
        <w:t>)</w:t>
      </w:r>
    </w:p>
    <w:p w:rsidR="002D01A6" w:rsidRDefault="002D01A6" w:rsidP="00ED11D1">
      <w:pPr>
        <w:pStyle w:val="ListParagraph"/>
        <w:spacing w:before="120" w:after="0"/>
        <w:ind w:left="786" w:hanging="786"/>
        <w:contextualSpacing w:val="0"/>
        <w:jc w:val="both"/>
        <w:rPr>
          <w:szCs w:val="24"/>
          <w:lang w:val="en-US"/>
        </w:rPr>
      </w:pPr>
      <w:r w:rsidRPr="001F073C">
        <w:rPr>
          <w:b/>
          <w:bCs/>
          <w:szCs w:val="24"/>
          <w:lang w:val="en-US"/>
        </w:rPr>
        <w:t>Internal Hazard Index (H</w:t>
      </w:r>
      <w:r w:rsidRPr="001F073C">
        <w:rPr>
          <w:b/>
          <w:bCs/>
          <w:szCs w:val="24"/>
          <w:vertAlign w:val="subscript"/>
          <w:lang w:val="en-US"/>
        </w:rPr>
        <w:t>in</w:t>
      </w:r>
      <w:r w:rsidRPr="001F073C">
        <w:rPr>
          <w:b/>
          <w:bCs/>
          <w:szCs w:val="24"/>
          <w:lang w:val="en-US"/>
        </w:rPr>
        <w:t>):</w:t>
      </w:r>
      <w:r w:rsidR="001E600B">
        <w:rPr>
          <w:b/>
          <w:bCs/>
          <w:szCs w:val="24"/>
          <w:lang w:val="en-US"/>
        </w:rPr>
        <w:t xml:space="preserve"> </w:t>
      </w:r>
      <w:r w:rsidRPr="002D01A6">
        <w:rPr>
          <w:szCs w:val="24"/>
          <w:lang w:val="en-US"/>
        </w:rPr>
        <w:t>Internal hazard index (H</w:t>
      </w:r>
      <w:r w:rsidR="001F073C" w:rsidRPr="001F073C">
        <w:rPr>
          <w:szCs w:val="24"/>
          <w:vertAlign w:val="subscript"/>
          <w:lang w:val="en-US"/>
        </w:rPr>
        <w:t>in</w:t>
      </w:r>
      <w:r w:rsidRPr="002D01A6">
        <w:rPr>
          <w:szCs w:val="24"/>
          <w:lang w:val="en-US"/>
        </w:rPr>
        <w:t xml:space="preserve">) </w:t>
      </w:r>
      <w:r w:rsidRPr="001F073C">
        <w:rPr>
          <w:szCs w:val="24"/>
          <w:lang w:val="en-US"/>
        </w:rPr>
        <w:t xml:space="preserve">is given by equation </w:t>
      </w:r>
      <w:r w:rsidR="00717F4B">
        <w:rPr>
          <w:szCs w:val="24"/>
          <w:lang w:val="en-US"/>
        </w:rPr>
        <w:t>[7]:</w:t>
      </w:r>
      <w:r w:rsidR="006C49EE">
        <w:rPr>
          <w:szCs w:val="24"/>
          <w:lang w:val="en-US"/>
        </w:rPr>
        <w:t xml:space="preserve">             </w:t>
      </w:r>
      <w:r w:rsidR="005E1B65">
        <w:rPr>
          <w:szCs w:val="24"/>
          <w:lang w:val="en-US"/>
        </w:rPr>
        <w:tab/>
      </w:r>
      <w:r w:rsidR="005E1B65" w:rsidRPr="000B4D97">
        <w:rPr>
          <w:rFonts w:eastAsiaTheme="minorEastAsia"/>
          <w:szCs w:val="24"/>
          <w:lang w:val="en-US" w:bidi="lo-LA"/>
        </w:rPr>
        <w:t>H</w:t>
      </w:r>
      <w:r w:rsidR="005E1B65">
        <w:rPr>
          <w:rFonts w:eastAsiaTheme="minorEastAsia"/>
          <w:szCs w:val="24"/>
          <w:vertAlign w:val="subscript"/>
          <w:lang w:val="en-US" w:bidi="lo-LA"/>
        </w:rPr>
        <w:t>in</w:t>
      </w:r>
      <w:r w:rsidR="005E1B65" w:rsidRPr="000B4D97">
        <w:rPr>
          <w:rFonts w:eastAsiaTheme="minorEastAsia"/>
          <w:szCs w:val="24"/>
          <w:lang w:val="en-US" w:bidi="lo-LA"/>
        </w:rPr>
        <w:t>=A</w:t>
      </w:r>
      <w:r w:rsidR="005E1B65" w:rsidRPr="000B4D97">
        <w:rPr>
          <w:rFonts w:eastAsiaTheme="minorEastAsia"/>
          <w:szCs w:val="24"/>
          <w:vertAlign w:val="subscript"/>
          <w:lang w:val="en-US" w:bidi="lo-LA"/>
        </w:rPr>
        <w:t>0Ra</w:t>
      </w:r>
      <w:r w:rsidR="005E1B65" w:rsidRPr="000B4D97">
        <w:rPr>
          <w:rFonts w:eastAsiaTheme="minorEastAsia"/>
          <w:szCs w:val="24"/>
          <w:lang w:val="en-US" w:bidi="lo-LA"/>
        </w:rPr>
        <w:t>/</w:t>
      </w:r>
      <w:r w:rsidR="005E1B65">
        <w:rPr>
          <w:rFonts w:eastAsiaTheme="minorEastAsia"/>
          <w:szCs w:val="24"/>
          <w:lang w:val="en-US" w:bidi="lo-LA"/>
        </w:rPr>
        <w:t>185</w:t>
      </w:r>
      <w:r w:rsidR="005E1B65" w:rsidRPr="000B4D97">
        <w:rPr>
          <w:rFonts w:eastAsiaTheme="minorEastAsia"/>
          <w:szCs w:val="24"/>
          <w:lang w:val="en-US" w:bidi="lo-LA"/>
        </w:rPr>
        <w:t xml:space="preserve"> + A</w:t>
      </w:r>
      <w:r w:rsidR="005E1B65" w:rsidRPr="000B4D97">
        <w:rPr>
          <w:rFonts w:eastAsiaTheme="minorEastAsia"/>
          <w:szCs w:val="24"/>
          <w:vertAlign w:val="subscript"/>
          <w:lang w:val="en-US" w:bidi="lo-LA"/>
        </w:rPr>
        <w:t>0Th</w:t>
      </w:r>
      <w:r w:rsidR="005E1B65">
        <w:rPr>
          <w:rFonts w:eastAsiaTheme="minorEastAsia"/>
          <w:szCs w:val="24"/>
          <w:lang w:val="en-US" w:bidi="lo-LA"/>
        </w:rPr>
        <w:t>/259</w:t>
      </w:r>
      <w:r w:rsidR="005E1B65" w:rsidRPr="000B4D97">
        <w:rPr>
          <w:rFonts w:eastAsiaTheme="minorEastAsia"/>
          <w:szCs w:val="24"/>
          <w:lang w:val="en-US" w:bidi="lo-LA"/>
        </w:rPr>
        <w:t xml:space="preserve"> + A</w:t>
      </w:r>
      <w:r w:rsidR="005E1B65" w:rsidRPr="000B4D97">
        <w:rPr>
          <w:rFonts w:eastAsiaTheme="minorEastAsia"/>
          <w:szCs w:val="24"/>
          <w:vertAlign w:val="subscript"/>
          <w:lang w:val="en-US" w:bidi="lo-LA"/>
        </w:rPr>
        <w:t>0K</w:t>
      </w:r>
      <w:r w:rsidR="005E1B65" w:rsidRPr="000B4D97">
        <w:rPr>
          <w:rFonts w:eastAsiaTheme="minorEastAsia"/>
          <w:szCs w:val="24"/>
          <w:lang w:val="en-US" w:bidi="lo-LA"/>
        </w:rPr>
        <w:t>/</w:t>
      </w:r>
      <w:r w:rsidR="00AE4F21">
        <w:rPr>
          <w:rFonts w:eastAsiaTheme="minorEastAsia"/>
          <w:szCs w:val="24"/>
          <w:lang w:val="en-US" w:bidi="lo-LA"/>
        </w:rPr>
        <w:t>4810</w:t>
      </w:r>
      <w:r w:rsidR="00AE4F21">
        <w:rPr>
          <w:rFonts w:eastAsiaTheme="minorEastAsia"/>
          <w:szCs w:val="24"/>
          <w:lang w:val="en-US" w:bidi="lo-LA"/>
        </w:rPr>
        <w:tab/>
      </w:r>
      <w:r w:rsidR="00AE4F21">
        <w:rPr>
          <w:rFonts w:eastAsiaTheme="minorEastAsia"/>
          <w:szCs w:val="24"/>
          <w:lang w:val="en-US" w:bidi="lo-LA"/>
        </w:rPr>
        <w:tab/>
      </w:r>
      <w:r w:rsidR="005E1B65">
        <w:rPr>
          <w:rFonts w:eastAsiaTheme="minorEastAsia"/>
          <w:szCs w:val="24"/>
          <w:lang w:val="en-US" w:bidi="lo-LA"/>
        </w:rPr>
        <w:tab/>
      </w:r>
      <w:r w:rsidR="005E1B65">
        <w:rPr>
          <w:rFonts w:eastAsiaTheme="minorEastAsia"/>
          <w:szCs w:val="24"/>
          <w:lang w:val="en-US" w:bidi="lo-LA"/>
        </w:rPr>
        <w:tab/>
      </w:r>
      <w:r w:rsidR="00ED11D1">
        <w:rPr>
          <w:rFonts w:eastAsiaTheme="minorEastAsia"/>
          <w:szCs w:val="24"/>
          <w:lang w:val="en-US" w:bidi="lo-LA"/>
        </w:rPr>
        <w:tab/>
      </w:r>
      <w:r w:rsidR="00ED11D1">
        <w:rPr>
          <w:rFonts w:eastAsiaTheme="minorEastAsia"/>
          <w:szCs w:val="24"/>
          <w:lang w:val="en-US" w:bidi="lo-LA"/>
        </w:rPr>
        <w:tab/>
      </w:r>
      <w:r w:rsidR="005E1B65">
        <w:rPr>
          <w:rFonts w:eastAsiaTheme="minorEastAsia"/>
          <w:szCs w:val="24"/>
          <w:lang w:val="en-US" w:bidi="lo-LA"/>
        </w:rPr>
        <w:t xml:space="preserve"> (</w:t>
      </w:r>
      <w:r w:rsidR="002111C2">
        <w:rPr>
          <w:rFonts w:eastAsiaTheme="minorEastAsia"/>
          <w:szCs w:val="24"/>
          <w:lang w:val="en-US" w:bidi="lo-LA"/>
        </w:rPr>
        <w:t>6</w:t>
      </w:r>
      <w:r w:rsidR="005E1B65">
        <w:rPr>
          <w:rFonts w:eastAsiaTheme="minorEastAsia"/>
          <w:szCs w:val="24"/>
          <w:lang w:val="en-US" w:bidi="lo-LA"/>
        </w:rPr>
        <w:t>)</w:t>
      </w:r>
    </w:p>
    <w:p w:rsidR="00943616" w:rsidRPr="00B45D4C" w:rsidRDefault="005E1B65" w:rsidP="00ED11D1">
      <w:pPr>
        <w:spacing w:before="120" w:after="0"/>
        <w:jc w:val="both"/>
        <w:rPr>
          <w:color w:val="000000" w:themeColor="text1"/>
          <w:szCs w:val="24"/>
          <w:lang w:val="en-US"/>
        </w:rPr>
      </w:pPr>
      <w:r w:rsidRPr="00B45D4C">
        <w:rPr>
          <w:color w:val="000000" w:themeColor="text1"/>
          <w:szCs w:val="24"/>
          <w:lang w:val="en-US"/>
        </w:rPr>
        <w:t>H</w:t>
      </w:r>
      <w:r w:rsidRPr="00B45D4C">
        <w:rPr>
          <w:color w:val="000000" w:themeColor="text1"/>
          <w:szCs w:val="24"/>
          <w:vertAlign w:val="subscript"/>
          <w:lang w:val="en-US"/>
        </w:rPr>
        <w:t>in</w:t>
      </w:r>
      <w:r w:rsidRPr="00B45D4C">
        <w:rPr>
          <w:color w:val="000000" w:themeColor="text1"/>
          <w:szCs w:val="24"/>
          <w:lang w:val="en-US"/>
        </w:rPr>
        <w:t xml:space="preserve"> must be less than one for safe use of samples and</w:t>
      </w:r>
      <w:r w:rsidR="009518D1"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>for the ra</w:t>
      </w:r>
      <w:r w:rsidR="00943616" w:rsidRPr="00B45D4C">
        <w:rPr>
          <w:color w:val="000000" w:themeColor="text1"/>
          <w:szCs w:val="24"/>
          <w:lang w:val="en-US"/>
        </w:rPr>
        <w:t>diation hazard to be negligible</w:t>
      </w:r>
      <w:r w:rsidR="00ED11D1" w:rsidRPr="00B45D4C">
        <w:rPr>
          <w:color w:val="000000" w:themeColor="text1"/>
          <w:szCs w:val="24"/>
          <w:lang w:val="en-US"/>
        </w:rPr>
        <w:t>.</w:t>
      </w:r>
    </w:p>
    <w:p w:rsidR="00847F62" w:rsidRPr="00B45D4C" w:rsidRDefault="00096EF9" w:rsidP="00400F30">
      <w:pPr>
        <w:spacing w:before="120" w:after="0"/>
        <w:jc w:val="thaiDistribute"/>
        <w:rPr>
          <w:color w:val="000000" w:themeColor="text1"/>
          <w:szCs w:val="24"/>
          <w:lang w:val="en-US"/>
        </w:rPr>
      </w:pPr>
      <w:r w:rsidRPr="00B45D4C">
        <w:rPr>
          <w:b/>
          <w:bCs/>
          <w:color w:val="000000" w:themeColor="text1"/>
          <w:sz w:val="28"/>
          <w:szCs w:val="28"/>
          <w:lang w:val="en-US"/>
        </w:rPr>
        <w:lastRenderedPageBreak/>
        <w:t>3</w:t>
      </w:r>
      <w:r w:rsidR="00C019E8" w:rsidRPr="00B45D4C">
        <w:rPr>
          <w:b/>
          <w:bCs/>
          <w:color w:val="000000" w:themeColor="text1"/>
          <w:sz w:val="28"/>
          <w:szCs w:val="28"/>
          <w:lang w:val="en-US"/>
        </w:rPr>
        <w:t>.</w:t>
      </w:r>
      <w:r w:rsidR="00581695" w:rsidRPr="00B45D4C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C019E8" w:rsidRPr="00B45D4C">
        <w:rPr>
          <w:b/>
          <w:bCs/>
          <w:color w:val="000000" w:themeColor="text1"/>
          <w:sz w:val="28"/>
          <w:szCs w:val="28"/>
          <w:lang w:val="en-US"/>
        </w:rPr>
        <w:t>Result and Discussion</w:t>
      </w:r>
    </w:p>
    <w:p w:rsidR="006466E7" w:rsidRPr="00B45D4C" w:rsidRDefault="00096EF9" w:rsidP="00400F30">
      <w:pPr>
        <w:spacing w:before="120" w:after="0"/>
        <w:jc w:val="thaiDistribute"/>
        <w:rPr>
          <w:b/>
          <w:color w:val="000000" w:themeColor="text1"/>
          <w:szCs w:val="24"/>
          <w:lang w:val="en-US"/>
        </w:rPr>
      </w:pPr>
      <w:r w:rsidRPr="00B45D4C">
        <w:rPr>
          <w:b/>
          <w:color w:val="000000" w:themeColor="text1"/>
          <w:szCs w:val="24"/>
          <w:lang w:val="en-US"/>
        </w:rPr>
        <w:t>3</w:t>
      </w:r>
      <w:r w:rsidR="006466E7" w:rsidRPr="00B45D4C">
        <w:rPr>
          <w:b/>
          <w:color w:val="000000" w:themeColor="text1"/>
          <w:szCs w:val="24"/>
          <w:lang w:val="en-US"/>
        </w:rPr>
        <w:t>.1</w:t>
      </w:r>
      <w:r w:rsidR="005B2206" w:rsidRPr="00B45D4C">
        <w:rPr>
          <w:b/>
          <w:color w:val="000000" w:themeColor="text1"/>
          <w:szCs w:val="24"/>
          <w:lang w:val="en-US"/>
        </w:rPr>
        <w:t>.</w:t>
      </w:r>
      <w:r w:rsidR="000E7F00" w:rsidRPr="00B45D4C">
        <w:rPr>
          <w:b/>
          <w:color w:val="000000" w:themeColor="text1"/>
          <w:szCs w:val="24"/>
          <w:lang w:val="en-US"/>
        </w:rPr>
        <w:t xml:space="preserve"> Activity c</w:t>
      </w:r>
      <w:r w:rsidR="006466E7" w:rsidRPr="00B45D4C">
        <w:rPr>
          <w:b/>
          <w:color w:val="000000" w:themeColor="text1"/>
          <w:szCs w:val="24"/>
          <w:lang w:val="en-US"/>
        </w:rPr>
        <w:t>oncentration in soil samples</w:t>
      </w:r>
    </w:p>
    <w:p w:rsidR="00B45D4C" w:rsidRPr="00B45D4C" w:rsidRDefault="00660F12" w:rsidP="009518D1">
      <w:pPr>
        <w:tabs>
          <w:tab w:val="left" w:pos="567"/>
        </w:tabs>
        <w:spacing w:before="120" w:after="0"/>
        <w:jc w:val="thaiDistribute"/>
        <w:rPr>
          <w:b/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ab/>
      </w:r>
      <w:r w:rsidR="009518D1">
        <w:rPr>
          <w:color w:val="000000" w:themeColor="text1"/>
          <w:szCs w:val="24"/>
          <w:lang w:val="en-US"/>
        </w:rPr>
        <w:t xml:space="preserve">The </w:t>
      </w:r>
      <w:r w:rsidR="00B45D4C" w:rsidRPr="00B45D4C">
        <w:rPr>
          <w:color w:val="000000" w:themeColor="text1"/>
          <w:szCs w:val="24"/>
          <w:lang w:val="en-US"/>
        </w:rPr>
        <w:t xml:space="preserve">activity concentrations of radionuclides </w:t>
      </w:r>
      <w:r w:rsidR="009518D1" w:rsidRPr="009518D1">
        <w:rPr>
          <w:color w:val="FF0000"/>
          <w:szCs w:val="24"/>
          <w:lang w:val="en-US"/>
        </w:rPr>
        <w:t>have been determined</w:t>
      </w:r>
      <w:r>
        <w:rPr>
          <w:color w:val="FF0000"/>
          <w:szCs w:val="24"/>
          <w:lang w:val="en-US"/>
        </w:rPr>
        <w:t xml:space="preserve"> </w:t>
      </w:r>
      <w:r w:rsidR="00B45D4C" w:rsidRPr="00B45D4C">
        <w:rPr>
          <w:color w:val="000000" w:themeColor="text1"/>
          <w:szCs w:val="24"/>
          <w:lang w:val="en-US"/>
        </w:rPr>
        <w:t xml:space="preserve"> </w:t>
      </w:r>
      <w:r w:rsidR="009518D1">
        <w:rPr>
          <w:color w:val="000000" w:themeColor="text1"/>
          <w:szCs w:val="24"/>
          <w:lang w:val="en-US"/>
        </w:rPr>
        <w:t xml:space="preserve">by </w:t>
      </w:r>
      <w:r w:rsidR="00B45D4C" w:rsidRPr="00B45D4C">
        <w:rPr>
          <w:color w:val="000000" w:themeColor="text1"/>
          <w:szCs w:val="24"/>
          <w:lang w:val="en-US"/>
        </w:rPr>
        <w:t>gamma spectrometry technique for 33 soil samples collected from Bolikhamxay province in Laos</w:t>
      </w:r>
      <w:r w:rsidR="009518D1">
        <w:rPr>
          <w:color w:val="000000" w:themeColor="text1"/>
          <w:szCs w:val="24"/>
          <w:lang w:val="en-US"/>
        </w:rPr>
        <w:t>.</w:t>
      </w:r>
      <w:r w:rsidR="009518D1" w:rsidRPr="009518D1">
        <w:rPr>
          <w:color w:val="FF0000"/>
          <w:szCs w:val="24"/>
          <w:lang w:val="en-US"/>
        </w:rPr>
        <w:t xml:space="preserve"> The sampling locations</w:t>
      </w:r>
      <w:r w:rsidR="00B45D4C" w:rsidRPr="00B45D4C">
        <w:rPr>
          <w:color w:val="000000" w:themeColor="text1"/>
          <w:szCs w:val="24"/>
          <w:lang w:val="en-US"/>
        </w:rPr>
        <w:t xml:space="preserve"> were close to the populated areas and agricultural</w:t>
      </w:r>
      <w:r w:rsidR="009518D1">
        <w:rPr>
          <w:color w:val="000000" w:themeColor="text1"/>
          <w:szCs w:val="24"/>
          <w:lang w:val="en-US"/>
        </w:rPr>
        <w:t xml:space="preserve"> </w:t>
      </w:r>
      <w:r w:rsidR="00B45D4C" w:rsidRPr="00B45D4C">
        <w:rPr>
          <w:color w:val="000000" w:themeColor="text1"/>
          <w:szCs w:val="24"/>
          <w:lang w:val="en-US"/>
        </w:rPr>
        <w:t>land.</w:t>
      </w:r>
      <w:r w:rsidR="009518D1">
        <w:rPr>
          <w:color w:val="000000" w:themeColor="text1"/>
          <w:szCs w:val="24"/>
          <w:lang w:val="en-US"/>
        </w:rPr>
        <w:t xml:space="preserve"> </w:t>
      </w:r>
      <w:r w:rsidR="00B45D4C" w:rsidRPr="00B45D4C">
        <w:rPr>
          <w:color w:val="000000" w:themeColor="text1"/>
          <w:szCs w:val="24"/>
          <w:lang w:val="en-US"/>
        </w:rPr>
        <w:t xml:space="preserve">The results </w:t>
      </w:r>
      <w:r w:rsidR="009518D1" w:rsidRPr="009518D1">
        <w:rPr>
          <w:color w:val="FF0000"/>
          <w:szCs w:val="24"/>
          <w:lang w:val="en-US"/>
        </w:rPr>
        <w:t>of activity concentration</w:t>
      </w:r>
      <w:r w:rsidR="009518D1" w:rsidRPr="00B45D4C">
        <w:rPr>
          <w:color w:val="000000" w:themeColor="text1"/>
          <w:szCs w:val="24"/>
          <w:lang w:val="en-US"/>
        </w:rPr>
        <w:t xml:space="preserve"> </w:t>
      </w:r>
      <w:r w:rsidR="00B45D4C" w:rsidRPr="00B45D4C">
        <w:rPr>
          <w:color w:val="000000" w:themeColor="text1"/>
          <w:szCs w:val="24"/>
          <w:lang w:val="en-US"/>
        </w:rPr>
        <w:t xml:space="preserve">for the radionuclides </w:t>
      </w:r>
      <w:r w:rsidR="00B45D4C"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226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>Ra,</w:t>
      </w:r>
      <w:r w:rsidR="00B45D4C"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232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Th and </w:t>
      </w:r>
      <w:r w:rsidR="00B45D4C"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40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K are shown graphically in </w:t>
      </w:r>
      <w:r w:rsidR="00B45D4C" w:rsidRPr="00B45D4C">
        <w:rPr>
          <w:rFonts w:eastAsiaTheme="minorEastAsia"/>
          <w:b/>
          <w:bCs/>
          <w:color w:val="000000" w:themeColor="text1"/>
          <w:szCs w:val="24"/>
          <w:lang w:val="en-US" w:bidi="lo-LA"/>
        </w:rPr>
        <w:t>Figure 1a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, </w:t>
      </w:r>
      <w:r w:rsidR="00B45D4C" w:rsidRPr="00B45D4C">
        <w:rPr>
          <w:rFonts w:eastAsiaTheme="minorEastAsia"/>
          <w:b/>
          <w:bCs/>
          <w:color w:val="000000" w:themeColor="text1"/>
          <w:szCs w:val="24"/>
          <w:lang w:val="en-US" w:bidi="lo-LA"/>
        </w:rPr>
        <w:t>Figure1b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, </w:t>
      </w:r>
      <w:r w:rsidR="00B45D4C" w:rsidRPr="00B45D4C">
        <w:rPr>
          <w:rFonts w:eastAsiaTheme="minorEastAsia"/>
          <w:b/>
          <w:bCs/>
          <w:color w:val="000000" w:themeColor="text1"/>
          <w:szCs w:val="24"/>
          <w:lang w:val="en-US" w:bidi="lo-LA"/>
        </w:rPr>
        <w:t>Figure 1c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>, respectively.</w:t>
      </w:r>
    </w:p>
    <w:p w:rsidR="00B45D4C" w:rsidRPr="00B45D4C" w:rsidRDefault="00B45D4C" w:rsidP="00B45D4C">
      <w:pPr>
        <w:spacing w:before="120" w:after="0"/>
        <w:jc w:val="thaiDistribute"/>
        <w:rPr>
          <w:rFonts w:eastAsiaTheme="minorEastAsia"/>
          <w:b/>
          <w:i/>
          <w:color w:val="000000" w:themeColor="text1"/>
          <w:szCs w:val="24"/>
          <w:lang w:val="en-US" w:bidi="lo-LA"/>
        </w:rPr>
      </w:pPr>
      <w:r w:rsidRPr="00B45D4C">
        <w:rPr>
          <w:rFonts w:eastAsiaTheme="minorEastAsia"/>
          <w:b/>
          <w:i/>
          <w:color w:val="000000" w:themeColor="text1"/>
          <w:szCs w:val="24"/>
          <w:lang w:val="en-US" w:bidi="lo-LA"/>
        </w:rPr>
        <w:t xml:space="preserve">3.1.1. Activity Concentration of </w:t>
      </w:r>
      <w:r w:rsidRPr="00B45D4C">
        <w:rPr>
          <w:rFonts w:eastAsiaTheme="minorEastAsia"/>
          <w:b/>
          <w:i/>
          <w:color w:val="000000" w:themeColor="text1"/>
          <w:szCs w:val="24"/>
          <w:vertAlign w:val="superscript"/>
          <w:lang w:val="en-US" w:bidi="lo-LA"/>
        </w:rPr>
        <w:t>226</w:t>
      </w:r>
      <w:r w:rsidRPr="00B45D4C">
        <w:rPr>
          <w:rFonts w:eastAsiaTheme="minorEastAsia"/>
          <w:b/>
          <w:i/>
          <w:color w:val="000000" w:themeColor="text1"/>
          <w:szCs w:val="24"/>
          <w:lang w:val="en-US" w:bidi="lo-LA"/>
        </w:rPr>
        <w:t>Ra</w:t>
      </w:r>
    </w:p>
    <w:p w:rsidR="00B45D4C" w:rsidRPr="00B45D4C" w:rsidRDefault="00B45D4C" w:rsidP="00B45D4C">
      <w:pPr>
        <w:spacing w:before="120" w:after="0"/>
        <w:jc w:val="both"/>
        <w:rPr>
          <w:rFonts w:cs="Times New Roman"/>
          <w:color w:val="000000" w:themeColor="text1"/>
          <w:szCs w:val="24"/>
          <w:lang w:val="en-US"/>
        </w:rPr>
      </w:pPr>
      <w:r w:rsidRPr="00B45D4C">
        <w:rPr>
          <w:rFonts w:eastAsiaTheme="minorEastAsia"/>
          <w:color w:val="000000" w:themeColor="text1"/>
          <w:szCs w:val="24"/>
          <w:lang w:val="en-US" w:bidi="lo-LA"/>
        </w:rPr>
        <w:tab/>
        <w:t xml:space="preserve">The concentration of 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226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>Ra ranges from13.03</w:t>
      </w:r>
      <w:r w:rsidRPr="00B45D4C">
        <w:rPr>
          <w:rFonts w:cs="Times New Roman"/>
          <w:color w:val="000000" w:themeColor="text1"/>
          <w:szCs w:val="24"/>
        </w:rPr>
        <w:t>±</w:t>
      </w:r>
      <w:r w:rsidR="0060609E">
        <w:rPr>
          <w:rFonts w:cs="Times New Roman"/>
          <w:color w:val="000000" w:themeColor="text1"/>
          <w:szCs w:val="24"/>
          <w:lang w:val="en-US"/>
        </w:rPr>
        <w:t>1.32 Bq.</w:t>
      </w:r>
      <w:r w:rsidR="0060609E" w:rsidRPr="0060609E">
        <w:rPr>
          <w:rFonts w:cs="Times New Roman"/>
          <w:color w:val="FF0000"/>
          <w:szCs w:val="24"/>
          <w:lang w:val="en-US"/>
        </w:rPr>
        <w:t>k</w:t>
      </w:r>
      <w:r w:rsidRPr="0060609E">
        <w:rPr>
          <w:rFonts w:cs="Times New Roman"/>
          <w:color w:val="FF0000"/>
          <w:szCs w:val="24"/>
          <w:lang w:val="en-US"/>
        </w:rPr>
        <w:t>g</w:t>
      </w:r>
      <w:r w:rsidRPr="0060609E">
        <w:rPr>
          <w:rFonts w:cs="Times New Roman"/>
          <w:color w:val="FF0000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to 90.8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>12.8</w:t>
      </w:r>
      <w:r w:rsidR="0060609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45D4C">
        <w:rPr>
          <w:rFonts w:cs="Times New Roman"/>
          <w:color w:val="000000" w:themeColor="text1"/>
          <w:szCs w:val="24"/>
          <w:lang w:val="en-US"/>
        </w:rPr>
        <w:t>Bq.</w:t>
      </w:r>
      <w:r w:rsidR="0060609E" w:rsidRPr="0060609E">
        <w:rPr>
          <w:rFonts w:cs="Times New Roman"/>
          <w:color w:val="FF0000"/>
          <w:szCs w:val="24"/>
          <w:lang w:val="en-US"/>
        </w:rPr>
        <w:t>k</w:t>
      </w:r>
      <w:r w:rsidRPr="0060609E">
        <w:rPr>
          <w:rFonts w:cs="Times New Roman"/>
          <w:color w:val="FF0000"/>
          <w:szCs w:val="24"/>
          <w:lang w:val="en-US"/>
        </w:rPr>
        <w:t>g</w:t>
      </w:r>
      <w:r w:rsidRPr="0060609E">
        <w:rPr>
          <w:rFonts w:cs="Times New Roman"/>
          <w:color w:val="FF0000"/>
          <w:szCs w:val="24"/>
          <w:vertAlign w:val="superscript"/>
          <w:lang w:val="en-US"/>
        </w:rPr>
        <w:t>-</w:t>
      </w:r>
      <w:r w:rsidR="0060609E" w:rsidRPr="0060609E">
        <w:rPr>
          <w:rFonts w:cs="Times New Roman"/>
          <w:color w:val="FF0000"/>
          <w:szCs w:val="24"/>
          <w:vertAlign w:val="superscript"/>
          <w:lang w:val="en-US"/>
        </w:rPr>
        <w:t>1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.The lowest 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226</w:t>
      </w:r>
      <w:r w:rsidRPr="00B45D4C">
        <w:rPr>
          <w:rFonts w:cs="Times New Roman"/>
          <w:color w:val="000000" w:themeColor="text1"/>
          <w:szCs w:val="24"/>
          <w:lang w:val="en-US"/>
        </w:rPr>
        <w:t>Ra  activity concentration of</w:t>
      </w:r>
      <w:r w:rsidR="0060609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>13.03</w:t>
      </w:r>
      <w:r w:rsidRPr="00B45D4C">
        <w:rPr>
          <w:rFonts w:cs="Times New Roman"/>
          <w:color w:val="000000" w:themeColor="text1"/>
          <w:szCs w:val="24"/>
        </w:rPr>
        <w:t>±</w:t>
      </w:r>
      <w:r w:rsidR="0060609E">
        <w:rPr>
          <w:rFonts w:cs="Times New Roman"/>
          <w:color w:val="000000" w:themeColor="text1"/>
          <w:szCs w:val="24"/>
          <w:lang w:val="en-US"/>
        </w:rPr>
        <w:t xml:space="preserve"> 1.32 Bq.</w:t>
      </w:r>
      <w:r w:rsidR="0060609E" w:rsidRPr="00521A40">
        <w:rPr>
          <w:rFonts w:cs="Times New Roman"/>
          <w:color w:val="FF0000"/>
          <w:szCs w:val="24"/>
          <w:lang w:val="en-US"/>
        </w:rPr>
        <w:t>k</w:t>
      </w:r>
      <w:r w:rsidRPr="00521A40">
        <w:rPr>
          <w:rFonts w:cs="Times New Roman"/>
          <w:color w:val="FF0000"/>
          <w:szCs w:val="24"/>
          <w:lang w:val="en-US"/>
        </w:rPr>
        <w:t>g</w:t>
      </w:r>
      <w:r w:rsidRPr="00521A40">
        <w:rPr>
          <w:rFonts w:cs="Times New Roman"/>
          <w:color w:val="FF0000"/>
          <w:szCs w:val="24"/>
          <w:vertAlign w:val="superscript"/>
          <w:lang w:val="en-US"/>
        </w:rPr>
        <w:t>-1</w:t>
      </w:r>
      <w:r w:rsidR="0060609E">
        <w:rPr>
          <w:rFonts w:cs="Times New Roman"/>
          <w:color w:val="000000" w:themeColor="text1"/>
          <w:szCs w:val="24"/>
          <w:vertAlign w:val="superscript"/>
          <w:lang w:val="en-US"/>
        </w:rPr>
        <w:t xml:space="preserve"> </w:t>
      </w:r>
      <w:r w:rsidRPr="00B45D4C">
        <w:rPr>
          <w:rFonts w:cs="Times New Roman"/>
          <w:color w:val="000000" w:themeColor="text1"/>
          <w:szCs w:val="24"/>
          <w:lang w:val="en-US"/>
        </w:rPr>
        <w:t>was found in</w:t>
      </w:r>
      <w:r w:rsidR="0060609E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>HP4</w:t>
      </w:r>
      <w:r w:rsidR="00521A40">
        <w:rPr>
          <w:color w:val="000000" w:themeColor="text1"/>
          <w:szCs w:val="24"/>
          <w:lang w:val="en-US"/>
        </w:rPr>
        <w:t xml:space="preserve"> </w:t>
      </w:r>
      <w:r w:rsidR="00521A40" w:rsidRPr="00521A40">
        <w:rPr>
          <w:color w:val="FF0000"/>
          <w:szCs w:val="24"/>
          <w:lang w:val="en-US"/>
        </w:rPr>
        <w:t>sample</w:t>
      </w:r>
      <w:r w:rsidR="0060609E"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>.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The highest value for 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226</w:t>
      </w:r>
      <w:r w:rsidRPr="00B45D4C">
        <w:rPr>
          <w:rFonts w:cs="Times New Roman"/>
          <w:color w:val="000000" w:themeColor="text1"/>
          <w:szCs w:val="24"/>
          <w:lang w:val="en-US"/>
        </w:rPr>
        <w:t>Ra</w:t>
      </w:r>
      <w:r w:rsidR="00521A40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(90.75 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>10.37</w:t>
      </w:r>
      <w:r w:rsidR="00521A40"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45D4C">
        <w:rPr>
          <w:rFonts w:cs="Times New Roman"/>
          <w:color w:val="000000" w:themeColor="text1"/>
          <w:szCs w:val="24"/>
          <w:lang w:val="en-US"/>
        </w:rPr>
        <w:t>Bq.</w:t>
      </w:r>
      <w:r w:rsidR="00521A40" w:rsidRPr="00521A40">
        <w:rPr>
          <w:rFonts w:cs="Times New Roman"/>
          <w:color w:val="FF0000"/>
          <w:szCs w:val="24"/>
          <w:lang w:val="en-US"/>
        </w:rPr>
        <w:t>k</w:t>
      </w:r>
      <w:r w:rsidRPr="00521A40">
        <w:rPr>
          <w:rFonts w:cs="Times New Roman"/>
          <w:color w:val="FF0000"/>
          <w:szCs w:val="24"/>
          <w:lang w:val="en-US"/>
        </w:rPr>
        <w:t>g</w:t>
      </w:r>
      <w:r w:rsidRPr="00521A40">
        <w:rPr>
          <w:rFonts w:cs="Times New Roman"/>
          <w:color w:val="FF0000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>) was found in HB4 sample</w:t>
      </w:r>
      <w:r w:rsidR="00521A40">
        <w:rPr>
          <w:rFonts w:cs="Times New Roman"/>
          <w:color w:val="000000" w:themeColor="text1"/>
          <w:szCs w:val="24"/>
          <w:lang w:val="en-US"/>
        </w:rPr>
        <w:t xml:space="preserve">, </w:t>
      </w:r>
      <w:r w:rsidR="00C90045">
        <w:rPr>
          <w:b/>
          <w:bCs/>
          <w:color w:val="000000" w:themeColor="text1"/>
          <w:szCs w:val="24"/>
          <w:lang w:val="en-US"/>
        </w:rPr>
        <w:t>Figure 2</w:t>
      </w:r>
      <w:r w:rsidRPr="00B45D4C">
        <w:rPr>
          <w:b/>
          <w:bCs/>
          <w:color w:val="000000" w:themeColor="text1"/>
          <w:szCs w:val="24"/>
          <w:lang w:val="en-US"/>
        </w:rPr>
        <w:t>a</w:t>
      </w:r>
      <w:r w:rsidRPr="00B45D4C">
        <w:rPr>
          <w:color w:val="000000" w:themeColor="text1"/>
          <w:szCs w:val="24"/>
          <w:lang w:val="en-US"/>
        </w:rPr>
        <w:t>. The average radioactivity level for</w:t>
      </w:r>
      <w:r w:rsidR="00521A40"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vertAlign w:val="superscript"/>
          <w:lang w:val="en-US"/>
        </w:rPr>
        <w:t>226</w:t>
      </w:r>
      <w:r w:rsidRPr="00B45D4C">
        <w:rPr>
          <w:color w:val="000000" w:themeColor="text1"/>
          <w:szCs w:val="24"/>
          <w:lang w:val="en-US"/>
        </w:rPr>
        <w:t>Ra (</w:t>
      </w:r>
      <w:r w:rsidRPr="00B45D4C">
        <w:rPr>
          <w:rFonts w:cs="Times New Roman"/>
          <w:color w:val="000000" w:themeColor="text1"/>
          <w:szCs w:val="24"/>
          <w:lang w:val="en-US"/>
        </w:rPr>
        <w:t>43.8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5.6 Bq.</w:t>
      </w:r>
      <w:r w:rsidR="00521A40" w:rsidRPr="00521A40">
        <w:rPr>
          <w:rFonts w:cs="Times New Roman"/>
          <w:color w:val="FF0000"/>
          <w:szCs w:val="24"/>
          <w:lang w:val="en-US"/>
        </w:rPr>
        <w:t>k</w:t>
      </w:r>
      <w:r w:rsidRPr="00521A40">
        <w:rPr>
          <w:rFonts w:cs="Times New Roman"/>
          <w:color w:val="FF0000"/>
          <w:szCs w:val="24"/>
          <w:lang w:val="en-US"/>
        </w:rPr>
        <w:t>g</w:t>
      </w:r>
      <w:r w:rsidRPr="00521A40">
        <w:rPr>
          <w:rFonts w:cs="Times New Roman"/>
          <w:color w:val="FF0000"/>
          <w:szCs w:val="24"/>
          <w:vertAlign w:val="superscript"/>
          <w:lang w:val="en-US"/>
        </w:rPr>
        <w:t>-1</w:t>
      </w:r>
      <w:r w:rsidRPr="00B45D4C">
        <w:rPr>
          <w:color w:val="000000" w:themeColor="text1"/>
          <w:szCs w:val="24"/>
          <w:lang w:val="en-US"/>
        </w:rPr>
        <w:t>) is higher than the world average value of 35 Bq.</w:t>
      </w:r>
      <w:r w:rsidR="00521A40" w:rsidRPr="00521A40">
        <w:rPr>
          <w:color w:val="FF0000"/>
          <w:szCs w:val="24"/>
          <w:lang w:val="en-US"/>
        </w:rPr>
        <w:t>k</w:t>
      </w:r>
      <w:r w:rsidRPr="00521A40">
        <w:rPr>
          <w:color w:val="FF0000"/>
          <w:szCs w:val="24"/>
          <w:lang w:val="en-US"/>
        </w:rPr>
        <w:t>g</w:t>
      </w:r>
      <w:r w:rsidRPr="00521A40">
        <w:rPr>
          <w:color w:val="FF0000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>[1].</w:t>
      </w:r>
    </w:p>
    <w:p w:rsidR="00B45D4C" w:rsidRPr="00B45D4C" w:rsidRDefault="00B45D4C" w:rsidP="00B45D4C">
      <w:pPr>
        <w:spacing w:before="120" w:after="0"/>
        <w:rPr>
          <w:b/>
          <w:i/>
          <w:color w:val="000000" w:themeColor="text1"/>
          <w:szCs w:val="24"/>
          <w:lang w:val="en-US"/>
        </w:rPr>
      </w:pPr>
      <w:r w:rsidRPr="00B45D4C">
        <w:rPr>
          <w:b/>
          <w:i/>
          <w:color w:val="000000" w:themeColor="text1"/>
          <w:szCs w:val="24"/>
          <w:lang w:val="en-US"/>
        </w:rPr>
        <w:t xml:space="preserve">3.1.2.  Activity Concentration of  </w:t>
      </w:r>
      <w:r w:rsidRPr="00B45D4C">
        <w:rPr>
          <w:b/>
          <w:i/>
          <w:color w:val="000000" w:themeColor="text1"/>
          <w:szCs w:val="24"/>
          <w:vertAlign w:val="superscript"/>
          <w:lang w:val="en-US"/>
        </w:rPr>
        <w:t>232</w:t>
      </w:r>
      <w:r w:rsidRPr="00B45D4C">
        <w:rPr>
          <w:b/>
          <w:i/>
          <w:color w:val="000000" w:themeColor="text1"/>
          <w:szCs w:val="24"/>
          <w:lang w:val="en-US"/>
        </w:rPr>
        <w:t>Th</w:t>
      </w:r>
    </w:p>
    <w:p w:rsidR="00B45D4C" w:rsidRPr="00B45D4C" w:rsidRDefault="00B45D4C" w:rsidP="00B45D4C">
      <w:pPr>
        <w:spacing w:before="120" w:after="0"/>
        <w:ind w:firstLine="720"/>
        <w:jc w:val="thaiDistribute"/>
        <w:rPr>
          <w:color w:val="000000" w:themeColor="text1"/>
          <w:szCs w:val="24"/>
          <w:lang w:val="en-US" w:bidi="lo-LA"/>
        </w:rPr>
      </w:pPr>
      <w:r w:rsidRPr="00B45D4C">
        <w:rPr>
          <w:color w:val="000000" w:themeColor="text1"/>
          <w:szCs w:val="24"/>
          <w:lang w:val="en-US"/>
        </w:rPr>
        <w:t xml:space="preserve">The </w:t>
      </w:r>
      <w:r w:rsidRPr="00B45D4C">
        <w:rPr>
          <w:color w:val="000000" w:themeColor="text1"/>
          <w:szCs w:val="24"/>
          <w:vertAlign w:val="superscript"/>
          <w:lang w:val="en-US"/>
        </w:rPr>
        <w:t>232</w:t>
      </w:r>
      <w:r w:rsidRPr="00B45D4C">
        <w:rPr>
          <w:color w:val="000000" w:themeColor="text1"/>
          <w:szCs w:val="24"/>
          <w:lang w:val="en-US"/>
        </w:rPr>
        <w:t xml:space="preserve">Th radioactivity concentration varies from 11.12 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1.2 to 93.15 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10.2 Bq.kg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. The lowest 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232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Th activity concentration of </w:t>
      </w:r>
      <w:r w:rsidRPr="00B45D4C">
        <w:rPr>
          <w:color w:val="000000" w:themeColor="text1"/>
          <w:szCs w:val="24"/>
          <w:lang w:val="en-US"/>
        </w:rPr>
        <w:t xml:space="preserve">11.12 </w:t>
      </w:r>
      <w:r w:rsidRPr="00B45D4C">
        <w:rPr>
          <w:rFonts w:cs="Times New Roman"/>
          <w:color w:val="000000" w:themeColor="text1"/>
          <w:szCs w:val="24"/>
        </w:rPr>
        <w:t>±</w:t>
      </w:r>
      <w:r w:rsidR="00521A40">
        <w:rPr>
          <w:rFonts w:cs="Times New Roman"/>
          <w:color w:val="000000" w:themeColor="text1"/>
          <w:szCs w:val="24"/>
          <w:lang w:val="en-US"/>
        </w:rPr>
        <w:t xml:space="preserve"> 1.</w:t>
      </w:r>
      <w:r w:rsidR="00521A40" w:rsidRPr="00521A40">
        <w:rPr>
          <w:rFonts w:cs="Times New Roman"/>
          <w:color w:val="000000" w:themeColor="text1"/>
          <w:szCs w:val="24"/>
          <w:lang w:val="en-US"/>
        </w:rPr>
        <w:t>2  Bq.k</w:t>
      </w:r>
      <w:r w:rsidRPr="00521A40">
        <w:rPr>
          <w:rFonts w:cs="Times New Roman"/>
          <w:color w:val="000000" w:themeColor="text1"/>
          <w:szCs w:val="24"/>
          <w:lang w:val="en-US"/>
        </w:rPr>
        <w:t>g</w:t>
      </w:r>
      <w:r w:rsidRPr="00521A40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 was found in HP4. The highest </w:t>
      </w:r>
      <w:r w:rsidRPr="00521A40">
        <w:rPr>
          <w:rFonts w:cs="Times New Roman"/>
          <w:color w:val="000000" w:themeColor="text1"/>
          <w:szCs w:val="24"/>
          <w:vertAlign w:val="superscript"/>
          <w:lang w:val="en-US"/>
        </w:rPr>
        <w:t>232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Th activity of 93.15 </w:t>
      </w:r>
      <w:r w:rsidRPr="00521A40">
        <w:rPr>
          <w:rFonts w:cs="Times New Roman"/>
          <w:color w:val="000000" w:themeColor="text1"/>
          <w:szCs w:val="24"/>
        </w:rPr>
        <w:t>±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 10.2 Bq.</w:t>
      </w:r>
      <w:r w:rsidR="00521A40" w:rsidRPr="00521A40">
        <w:rPr>
          <w:rFonts w:cs="Times New Roman"/>
          <w:color w:val="000000" w:themeColor="text1"/>
          <w:szCs w:val="24"/>
          <w:lang w:val="en-US"/>
        </w:rPr>
        <w:t>k</w:t>
      </w:r>
      <w:r w:rsidRPr="00521A40">
        <w:rPr>
          <w:rFonts w:cs="Times New Roman"/>
          <w:color w:val="000000" w:themeColor="text1"/>
          <w:szCs w:val="24"/>
          <w:lang w:val="en-US"/>
        </w:rPr>
        <w:t>g</w:t>
      </w:r>
      <w:r w:rsidRPr="00521A40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 was found in the HB3, </w:t>
      </w:r>
      <w:r w:rsidR="00C90045">
        <w:rPr>
          <w:rFonts w:cs="Times New Roman"/>
          <w:b/>
          <w:bCs/>
          <w:color w:val="000000" w:themeColor="text1"/>
          <w:szCs w:val="24"/>
          <w:lang w:val="en-US"/>
        </w:rPr>
        <w:t>Figure 2</w:t>
      </w:r>
      <w:r w:rsidRPr="00521A40">
        <w:rPr>
          <w:rFonts w:cs="Times New Roman"/>
          <w:b/>
          <w:bCs/>
          <w:color w:val="000000" w:themeColor="text1"/>
          <w:szCs w:val="24"/>
          <w:lang w:val="en-US"/>
        </w:rPr>
        <w:t xml:space="preserve">b. 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The average radioactivity level of </w:t>
      </w:r>
      <w:r w:rsidRPr="00521A40">
        <w:rPr>
          <w:rFonts w:cs="Times New Roman"/>
          <w:color w:val="000000" w:themeColor="text1"/>
          <w:szCs w:val="24"/>
          <w:vertAlign w:val="superscript"/>
          <w:lang w:val="en-US"/>
        </w:rPr>
        <w:t>232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Th of </w:t>
      </w:r>
      <w:r w:rsidRPr="00521A40">
        <w:rPr>
          <w:color w:val="000000" w:themeColor="text1"/>
          <w:szCs w:val="24"/>
          <w:lang w:val="en-US"/>
        </w:rPr>
        <w:t>57</w:t>
      </w:r>
      <w:r w:rsidRPr="00521A40">
        <w:rPr>
          <w:color w:val="000000" w:themeColor="text1"/>
          <w:szCs w:val="24"/>
        </w:rPr>
        <w:t>.</w:t>
      </w:r>
      <w:r w:rsidRPr="00521A40">
        <w:rPr>
          <w:color w:val="000000" w:themeColor="text1"/>
          <w:szCs w:val="24"/>
          <w:lang w:val="en-US"/>
        </w:rPr>
        <w:t xml:space="preserve">0 </w:t>
      </w:r>
      <w:r w:rsidRPr="00521A40">
        <w:rPr>
          <w:rFonts w:cs="Times New Roman"/>
          <w:color w:val="000000" w:themeColor="text1"/>
          <w:sz w:val="22"/>
        </w:rPr>
        <w:t>±</w:t>
      </w:r>
      <w:r w:rsidRPr="00521A40">
        <w:rPr>
          <w:rFonts w:cs="Times New Roman"/>
          <w:color w:val="000000" w:themeColor="text1"/>
          <w:sz w:val="22"/>
          <w:lang w:val="en-US"/>
        </w:rPr>
        <w:t xml:space="preserve"> 7</w:t>
      </w:r>
      <w:r w:rsidRPr="00521A40">
        <w:rPr>
          <w:color w:val="000000" w:themeColor="text1"/>
          <w:szCs w:val="24"/>
        </w:rPr>
        <w:t>.</w:t>
      </w:r>
      <w:r w:rsidRPr="00521A40">
        <w:rPr>
          <w:color w:val="000000" w:themeColor="text1"/>
          <w:szCs w:val="24"/>
          <w:lang w:val="en-US"/>
        </w:rPr>
        <w:t>3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 Bq.</w:t>
      </w:r>
      <w:r w:rsidR="00521A40" w:rsidRPr="00521A40">
        <w:rPr>
          <w:rFonts w:cs="Times New Roman"/>
          <w:color w:val="000000" w:themeColor="text1"/>
          <w:szCs w:val="24"/>
          <w:lang w:val="en-US"/>
        </w:rPr>
        <w:t>k</w:t>
      </w:r>
      <w:r w:rsidRPr="00521A40">
        <w:rPr>
          <w:rFonts w:cs="Times New Roman"/>
          <w:color w:val="000000" w:themeColor="text1"/>
          <w:szCs w:val="24"/>
          <w:lang w:val="en-US"/>
        </w:rPr>
        <w:t>g</w:t>
      </w:r>
      <w:r w:rsidRPr="00521A40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521A40">
        <w:rPr>
          <w:rFonts w:cs="Times New Roman"/>
          <w:color w:val="000000" w:themeColor="text1"/>
          <w:szCs w:val="24"/>
          <w:lang w:val="en-US"/>
        </w:rPr>
        <w:t xml:space="preserve"> is also hi</w:t>
      </w:r>
      <w:r w:rsidRPr="00B45D4C">
        <w:rPr>
          <w:rFonts w:cs="Times New Roman"/>
          <w:color w:val="000000" w:themeColor="text1"/>
          <w:szCs w:val="24"/>
          <w:lang w:val="en-US"/>
        </w:rPr>
        <w:t>gher than the world average of 30 Bq.kg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 xml:space="preserve">-1 </w:t>
      </w:r>
      <w:r w:rsidRPr="00B45D4C">
        <w:rPr>
          <w:rFonts w:cs="Times New Roman"/>
          <w:color w:val="000000" w:themeColor="text1"/>
          <w:szCs w:val="24"/>
          <w:lang w:val="en-US"/>
        </w:rPr>
        <w:t>[1].</w:t>
      </w:r>
    </w:p>
    <w:p w:rsidR="00C90045" w:rsidRPr="00B45D4C" w:rsidRDefault="00C90045" w:rsidP="00C90045">
      <w:pPr>
        <w:spacing w:before="120" w:after="0"/>
        <w:jc w:val="thaiDistribute"/>
        <w:rPr>
          <w:rFonts w:cs="Times New Roman"/>
          <w:b/>
          <w:i/>
          <w:color w:val="000000" w:themeColor="text1"/>
          <w:szCs w:val="24"/>
          <w:lang w:val="en-US"/>
        </w:rPr>
      </w:pPr>
      <w:r w:rsidRPr="00B45D4C">
        <w:rPr>
          <w:rFonts w:cs="Times New Roman"/>
          <w:b/>
          <w:i/>
          <w:color w:val="000000" w:themeColor="text1"/>
          <w:szCs w:val="24"/>
          <w:lang w:val="en-US"/>
        </w:rPr>
        <w:t xml:space="preserve">3.1.3. Activity Concentration of </w:t>
      </w:r>
      <w:r w:rsidRPr="00B45D4C">
        <w:rPr>
          <w:rFonts w:cs="Times New Roman"/>
          <w:b/>
          <w:i/>
          <w:color w:val="000000" w:themeColor="text1"/>
          <w:szCs w:val="24"/>
          <w:vertAlign w:val="superscript"/>
          <w:lang w:val="en-US"/>
        </w:rPr>
        <w:t>40</w:t>
      </w:r>
      <w:r w:rsidRPr="00B45D4C">
        <w:rPr>
          <w:rFonts w:cs="Times New Roman"/>
          <w:b/>
          <w:i/>
          <w:color w:val="000000" w:themeColor="text1"/>
          <w:szCs w:val="24"/>
          <w:lang w:val="en-US"/>
        </w:rPr>
        <w:t>K</w:t>
      </w:r>
    </w:p>
    <w:p w:rsidR="00C90045" w:rsidRPr="00B45D4C" w:rsidRDefault="00C90045" w:rsidP="00C90045">
      <w:pPr>
        <w:spacing w:before="120" w:after="0"/>
        <w:jc w:val="thaiDistribute"/>
        <w:rPr>
          <w:rFonts w:cs="Times New Roman"/>
          <w:color w:val="000000" w:themeColor="text1"/>
          <w:szCs w:val="24"/>
          <w:lang w:val="en-US"/>
        </w:rPr>
      </w:pPr>
      <w:r w:rsidRPr="00B45D4C">
        <w:rPr>
          <w:rFonts w:cs="Times New Roman"/>
          <w:color w:val="000000" w:themeColor="text1"/>
          <w:szCs w:val="24"/>
          <w:lang w:val="en-US"/>
        </w:rPr>
        <w:tab/>
        <w:t xml:space="preserve">The activity concentration of 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40</w:t>
      </w:r>
      <w:r w:rsidRPr="00B45D4C">
        <w:rPr>
          <w:rFonts w:cs="Times New Roman"/>
          <w:color w:val="000000" w:themeColor="text1"/>
          <w:szCs w:val="24"/>
          <w:lang w:val="en-US"/>
        </w:rPr>
        <w:t>K</w:t>
      </w:r>
      <w:r w:rsidRPr="00B45D4C">
        <w:rPr>
          <w:color w:val="000000" w:themeColor="text1"/>
          <w:szCs w:val="24"/>
          <w:lang w:val="en-US"/>
        </w:rPr>
        <w:t xml:space="preserve"> ranges from 37.5 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2.7 to 979.1 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31.7 Bq.</w:t>
      </w:r>
      <w:r>
        <w:rPr>
          <w:rFonts w:cs="Times New Roman"/>
          <w:color w:val="000000" w:themeColor="text1"/>
          <w:szCs w:val="24"/>
          <w:lang w:val="en-US"/>
        </w:rPr>
        <w:t>k</w:t>
      </w:r>
      <w:r w:rsidRPr="00B45D4C">
        <w:rPr>
          <w:rFonts w:cs="Times New Roman"/>
          <w:color w:val="000000" w:themeColor="text1"/>
          <w:szCs w:val="24"/>
          <w:lang w:val="en-US"/>
        </w:rPr>
        <w:t>g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>.</w:t>
      </w:r>
      <w:r w:rsidRPr="00B45D4C">
        <w:rPr>
          <w:color w:val="000000" w:themeColor="text1"/>
          <w:szCs w:val="24"/>
          <w:lang w:val="en-US"/>
        </w:rPr>
        <w:t xml:space="preserve">The lowest 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40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K activity concentration of  </w:t>
      </w:r>
      <w:r w:rsidRPr="00B45D4C">
        <w:rPr>
          <w:color w:val="000000" w:themeColor="text1"/>
          <w:szCs w:val="24"/>
          <w:lang w:val="en-US"/>
        </w:rPr>
        <w:t xml:space="preserve">37.5 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2.7 Bq.</w:t>
      </w:r>
      <w:r>
        <w:rPr>
          <w:rFonts w:cs="Times New Roman"/>
          <w:color w:val="000000" w:themeColor="text1"/>
          <w:szCs w:val="24"/>
          <w:lang w:val="en-US"/>
        </w:rPr>
        <w:t>k</w:t>
      </w:r>
      <w:r w:rsidRPr="00B45D4C">
        <w:rPr>
          <w:rFonts w:cs="Times New Roman"/>
          <w:color w:val="000000" w:themeColor="text1"/>
          <w:szCs w:val="24"/>
          <w:lang w:val="en-US"/>
        </w:rPr>
        <w:t>g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was found in HPd3. The highest 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40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K activity concentration of  979.1 </w:t>
      </w:r>
      <w:r w:rsidRPr="00B45D4C">
        <w:rPr>
          <w:rFonts w:cs="Times New Roman"/>
          <w:color w:val="000000" w:themeColor="text1"/>
          <w:szCs w:val="24"/>
        </w:rPr>
        <w:t>±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31.7</w:t>
      </w:r>
      <w:r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45D4C">
        <w:rPr>
          <w:rFonts w:cs="Times New Roman"/>
          <w:color w:val="000000" w:themeColor="text1"/>
          <w:szCs w:val="24"/>
          <w:lang w:val="en-US"/>
        </w:rPr>
        <w:t>Bq.</w:t>
      </w:r>
      <w:r>
        <w:rPr>
          <w:rFonts w:cs="Times New Roman"/>
          <w:color w:val="000000" w:themeColor="text1"/>
          <w:szCs w:val="24"/>
          <w:lang w:val="en-US"/>
        </w:rPr>
        <w:t>k</w:t>
      </w:r>
      <w:r w:rsidRPr="00B45D4C">
        <w:rPr>
          <w:rFonts w:cs="Times New Roman"/>
          <w:color w:val="000000" w:themeColor="text1"/>
          <w:szCs w:val="24"/>
          <w:lang w:val="en-US"/>
        </w:rPr>
        <w:t>g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B45D4C">
        <w:rPr>
          <w:color w:val="000000" w:themeColor="text1"/>
          <w:szCs w:val="24"/>
          <w:lang w:val="en-US"/>
        </w:rPr>
        <w:t xml:space="preserve"> was found in HT4, </w:t>
      </w:r>
      <w:r w:rsidRPr="00B45D4C">
        <w:rPr>
          <w:rFonts w:cs="Times New Roman"/>
          <w:b/>
          <w:bCs/>
          <w:color w:val="000000" w:themeColor="text1"/>
          <w:szCs w:val="24"/>
          <w:lang w:val="en-US"/>
        </w:rPr>
        <w:t xml:space="preserve">Figure </w:t>
      </w:r>
      <w:r>
        <w:rPr>
          <w:rFonts w:cs="Times New Roman"/>
          <w:b/>
          <w:bCs/>
          <w:color w:val="000000" w:themeColor="text1"/>
          <w:szCs w:val="24"/>
          <w:lang w:val="en-US"/>
        </w:rPr>
        <w:t>2</w:t>
      </w:r>
      <w:r w:rsidRPr="00B45D4C">
        <w:rPr>
          <w:rFonts w:cs="Times New Roman"/>
          <w:b/>
          <w:bCs/>
          <w:color w:val="000000" w:themeColor="text1"/>
          <w:szCs w:val="24"/>
          <w:lang w:val="en-US"/>
        </w:rPr>
        <w:t>c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. The average value of 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40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K is </w:t>
      </w:r>
      <w:r w:rsidRPr="00B45D4C">
        <w:rPr>
          <w:color w:val="000000" w:themeColor="text1"/>
          <w:szCs w:val="24"/>
          <w:lang w:val="en-US"/>
        </w:rPr>
        <w:t xml:space="preserve">413.9 </w:t>
      </w:r>
      <w:r w:rsidRPr="00B45D4C">
        <w:rPr>
          <w:rFonts w:cs="Times New Roman"/>
          <w:color w:val="000000" w:themeColor="text1"/>
          <w:szCs w:val="24"/>
        </w:rPr>
        <w:t>±</w:t>
      </w:r>
      <w:r>
        <w:rPr>
          <w:rFonts w:cs="Times New Roman"/>
          <w:color w:val="000000" w:themeColor="text1"/>
          <w:szCs w:val="24"/>
          <w:lang w:val="en-US"/>
        </w:rPr>
        <w:t xml:space="preserve">  22.4 Bq.k</w:t>
      </w:r>
      <w:r w:rsidRPr="00B45D4C">
        <w:rPr>
          <w:rFonts w:cs="Times New Roman"/>
          <w:color w:val="000000" w:themeColor="text1"/>
          <w:szCs w:val="24"/>
          <w:lang w:val="en-US"/>
        </w:rPr>
        <w:t>g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>. This value is the same in the world average of 400</w:t>
      </w:r>
      <w:r>
        <w:rPr>
          <w:rFonts w:cs="Times New Roman"/>
          <w:color w:val="000000" w:themeColor="text1"/>
          <w:szCs w:val="24"/>
          <w:lang w:val="en-US"/>
        </w:rPr>
        <w:t xml:space="preserve"> </w:t>
      </w:r>
      <w:r w:rsidRPr="00B45D4C">
        <w:rPr>
          <w:rFonts w:cs="Times New Roman"/>
          <w:color w:val="000000" w:themeColor="text1"/>
          <w:szCs w:val="24"/>
          <w:lang w:val="en-US"/>
        </w:rPr>
        <w:t>Bq.</w:t>
      </w:r>
      <w:r>
        <w:rPr>
          <w:rFonts w:cs="Times New Roman"/>
          <w:color w:val="000000" w:themeColor="text1"/>
          <w:szCs w:val="24"/>
          <w:lang w:val="en-US"/>
        </w:rPr>
        <w:t>k</w:t>
      </w:r>
      <w:r w:rsidRPr="00B45D4C">
        <w:rPr>
          <w:rFonts w:cs="Times New Roman"/>
          <w:color w:val="000000" w:themeColor="text1"/>
          <w:szCs w:val="24"/>
          <w:lang w:val="en-US"/>
        </w:rPr>
        <w:t>g</w:t>
      </w:r>
      <w:r w:rsidRPr="00B45D4C">
        <w:rPr>
          <w:rFonts w:cs="Times New Roman"/>
          <w:color w:val="000000" w:themeColor="text1"/>
          <w:szCs w:val="24"/>
          <w:vertAlign w:val="superscript"/>
          <w:lang w:val="en-US"/>
        </w:rPr>
        <w:t>-1</w:t>
      </w:r>
      <w:r w:rsidRPr="00B45D4C">
        <w:rPr>
          <w:rFonts w:cs="Times New Roman"/>
          <w:color w:val="000000" w:themeColor="text1"/>
          <w:szCs w:val="24"/>
          <w:lang w:val="en-US"/>
        </w:rPr>
        <w:t xml:space="preserve"> [1]. </w:t>
      </w:r>
    </w:p>
    <w:p w:rsidR="00C90045" w:rsidRPr="005B2206" w:rsidRDefault="00C90045" w:rsidP="00C90045">
      <w:pPr>
        <w:spacing w:before="120" w:after="0"/>
        <w:jc w:val="thaiDistribute"/>
        <w:rPr>
          <w:rFonts w:cs="Times New Roman"/>
          <w:b/>
          <w:color w:val="000000"/>
          <w:szCs w:val="24"/>
          <w:lang w:val="en-US"/>
        </w:rPr>
      </w:pPr>
      <w:r w:rsidRPr="005B2206">
        <w:rPr>
          <w:rFonts w:cs="Times New Roman"/>
          <w:b/>
          <w:color w:val="000000"/>
          <w:szCs w:val="24"/>
          <w:lang w:val="en-US"/>
        </w:rPr>
        <w:t>3.2 Radiological Hazard Assessment</w:t>
      </w:r>
    </w:p>
    <w:p w:rsidR="00C90045" w:rsidRDefault="00C90045" w:rsidP="00C90045">
      <w:pPr>
        <w:spacing w:before="240"/>
        <w:jc w:val="thaiDistribute"/>
        <w:rPr>
          <w:b/>
          <w:bCs/>
          <w:color w:val="000000" w:themeColor="text1"/>
          <w:sz w:val="28"/>
          <w:szCs w:val="28"/>
          <w:lang w:val="en-US"/>
        </w:rPr>
      </w:pPr>
      <w:r w:rsidRPr="00B45D4C">
        <w:rPr>
          <w:rFonts w:cs="Times New Roman"/>
          <w:color w:val="000000" w:themeColor="text1"/>
          <w:szCs w:val="24"/>
          <w:lang w:val="en-US"/>
        </w:rPr>
        <w:t xml:space="preserve">In order to assess the health effects, the absorbed does rate, outdoor annual effective dose, external hazard index and internal hazard index have been calculated from the activity concentrations of 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226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>Ra,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232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Th and 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40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K using equations (3), (4), (5), (6), respectively.The </w:t>
      </w:r>
      <w:r w:rsidRPr="00521A40">
        <w:rPr>
          <w:rFonts w:eastAsiaTheme="minorEastAsia"/>
          <w:color w:val="FF0000"/>
          <w:szCs w:val="24"/>
          <w:lang w:val="en-US" w:bidi="lo-LA"/>
        </w:rPr>
        <w:t xml:space="preserve">results 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shown in </w:t>
      </w:r>
      <w:r w:rsidRPr="00B45D4C">
        <w:rPr>
          <w:rFonts w:eastAsiaTheme="minorEastAsia"/>
          <w:b/>
          <w:color w:val="000000" w:themeColor="text1"/>
          <w:szCs w:val="24"/>
          <w:lang w:val="en-US" w:bidi="lo-LA"/>
        </w:rPr>
        <w:t>Table 1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 depict that the absorbed does rates due to the terrestrial gamma rays at 1 m above from the ground are in the range of 34.91 to 226.07 nGyh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-1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 with an average of 136.1 nGyh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-1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>.This value is about two times higher than the world average value of 59 nGy.h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-1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 [1]. The outdoor annual effective </w:t>
      </w:r>
      <w:r w:rsidRPr="00521A40">
        <w:rPr>
          <w:rFonts w:eastAsiaTheme="minorEastAsia"/>
          <w:color w:val="FF0000"/>
          <w:szCs w:val="24"/>
          <w:lang w:val="en-US" w:bidi="lo-LA"/>
        </w:rPr>
        <w:t xml:space="preserve">dose rates are 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 in the range of 0.04 to 0.28 mSv.y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-1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>with an average of 0.17 mSv.y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-1</w:t>
      </w:r>
      <w:r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 xml:space="preserve"> 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in </w:t>
      </w:r>
      <w:r>
        <w:rPr>
          <w:rFonts w:eastAsiaTheme="minorEastAsia"/>
          <w:color w:val="000000" w:themeColor="text1"/>
          <w:szCs w:val="24"/>
          <w:lang w:val="en-US" w:bidi="lo-LA"/>
        </w:rPr>
        <w:t xml:space="preserve">the 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>soil samples, which is higher than comparable with the world  average value  of 0.07 mSv.yr</w:t>
      </w:r>
      <w:r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-1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 [1]. On the other hand, </w:t>
      </w:r>
      <w:r w:rsidRPr="00521A40">
        <w:rPr>
          <w:rFonts w:eastAsiaTheme="minorEastAsia"/>
          <w:color w:val="FF0000"/>
          <w:szCs w:val="24"/>
          <w:lang w:val="en-US" w:bidi="lo-LA"/>
        </w:rPr>
        <w:t>the calculated values</w:t>
      </w:r>
      <w:r>
        <w:rPr>
          <w:rFonts w:eastAsiaTheme="minorEastAsia"/>
          <w:color w:val="000000" w:themeColor="text1"/>
          <w:szCs w:val="24"/>
          <w:lang w:val="en-US" w:bidi="lo-LA"/>
        </w:rPr>
        <w:t xml:space="preserve"> of the 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external radiation hazard index range from 0.11 to 0.70 with an average value of 0.42 and the internal radiation hazard index range from 0.14 to 0.89 </w:t>
      </w:r>
      <w:r>
        <w:rPr>
          <w:rFonts w:eastAsiaTheme="minorEastAsia"/>
          <w:color w:val="000000" w:themeColor="text1"/>
          <w:szCs w:val="24"/>
          <w:lang w:val="en-US" w:bidi="lo-LA"/>
        </w:rPr>
        <w:t>with an average value of 0.54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 </w:t>
      </w:r>
      <w:r w:rsidRPr="00C70C53">
        <w:rPr>
          <w:rFonts w:eastAsiaTheme="minorEastAsia"/>
          <w:color w:val="000000" w:themeColor="text1"/>
          <w:szCs w:val="24"/>
          <w:lang w:val="en-US" w:bidi="lo-LA"/>
        </w:rPr>
        <w:t xml:space="preserve">which </w:t>
      </w:r>
      <w:r w:rsidRPr="00B45D4C">
        <w:rPr>
          <w:rFonts w:eastAsiaTheme="minorEastAsia"/>
          <w:color w:val="000000" w:themeColor="text1"/>
          <w:szCs w:val="24"/>
          <w:lang w:val="en-US" w:bidi="lo-LA"/>
        </w:rPr>
        <w:t>are far less than unity indicating the non - hazardous category of the samples.</w:t>
      </w:r>
      <w:r w:rsidRPr="00C90045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F66D65" w:rsidRPr="00C90045" w:rsidRDefault="00F66D65" w:rsidP="00C90045">
      <w:pPr>
        <w:spacing w:before="120" w:after="0"/>
        <w:ind w:firstLine="720"/>
        <w:jc w:val="thaiDistribute"/>
        <w:rPr>
          <w:rFonts w:eastAsiaTheme="minorEastAsia"/>
          <w:color w:val="000000" w:themeColor="text1"/>
          <w:szCs w:val="24"/>
          <w:lang w:val="en-US" w:bidi="lo-LA"/>
        </w:rPr>
      </w:pPr>
    </w:p>
    <w:p w:rsidR="00F66D65" w:rsidRDefault="00AD1411" w:rsidP="00921E97">
      <w:pPr>
        <w:jc w:val="thaiDistribute"/>
        <w:rPr>
          <w:szCs w:val="24"/>
          <w:lang w:val="en-US"/>
        </w:rPr>
      </w:pPr>
      <w:r w:rsidRPr="00AD1411">
        <w:rPr>
          <w:szCs w:val="24"/>
          <w:lang w:val="en-US"/>
        </w:rPr>
      </w:r>
      <w:r>
        <w:rPr>
          <w:szCs w:val="24"/>
          <w:lang w:val="en-US"/>
        </w:rPr>
        <w:pict>
          <v:group id="Group 10" o:spid="_x0000_s1030" style="width:464.85pt;height:609.65pt;mso-position-horizontal-relative:char;mso-position-vertical-relative:line" coordsize="60731,81013" o:gfxdata="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hart 6" o:spid="_x0000_s1031" type="#_x0000_t75" style="position:absolute;width:60777;height:243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UOpO&#10;7cAAAADaAAAADwAAAGRycy9kb3ducmV2LnhtbESPT4vCMBTE74LfITzBm6Z6EO0aZRVWexHxz94f&#10;zdu2tHkpSVbrtzeC4HGYmd8wy3VnGnEj5yvLCibjBARxbnXFhYLr5Wc0B+EDssbGMil4kIf1qt9b&#10;YqrtnU90O4dCRAj7FBWUIbSplD4vyaAf25Y4en/WGQxRukJqh/cIN42cJslMGqw4LpTY0rakvD7/&#10;GwVUH7PJ/nfqGsozuZGLRb3zB6WGg+77C0SgLnzC73amFczgdSXeALl6Ag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FDqTu3AAAAA2gAAAA8AAAAAAAAAAAAAAAAAmwIAAGRycy9kb3du&#10;cmV2LnhtbFBLBQYAAAAABAAEAPMAAACIAwAAAAA=&#10;">
              <v:imagedata r:id="rId9" o:title=""/>
              <o:lock v:ext="edit" aspectratio="f"/>
            </v:shape>
            <v:shape id="Chart 7" o:spid="_x0000_s1032" type="#_x0000_t75" style="position:absolute;top:25908;width:60777;height:266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sYz&#10;vcQAAADaAAAADwAAAGRycy9kb3ducmV2LnhtbESPQWvCQBSE74X+h+UVvJmNglqjq5SWQi4e1NDW&#10;2yP7TEKzb8PuNib/3i0Uehxm5htmux9MK3pyvrGsYJakIIhLqxuuFBTn9+kzCB+QNbaWScFIHva7&#10;x4ctZtre+Ej9KVQiQthnqKAOocuk9GVNBn1iO+LoXa0zGKJ0ldQObxFuWjlP06U02HBcqLGj15rK&#10;79OPUcCH9LL+7N/y9dcg5272sRgLuig1eRpeNiACDeE//NfOtYIV/F6JN0Du7g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DOxjO9xAAAANoAAAAPAAAAAAAAAAAAAAAAAJsCAABkcnMv&#10;ZG93bnJldi54bWxQSwUGAAAAAAQABADzAAAAjAMAAAAA&#10;">
              <v:imagedata r:id="rId10" o:title=""/>
              <o:lock v:ext="edit" aspectratio="f"/>
            </v:shape>
            <v:shape id="Chart 8" o:spid="_x0000_s1033" type="#_x0000_t75" style="position:absolute;top:54071;width:60777;height:270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Sehn&#10;or0AAADaAAAADwAAAGRycy9kb3ducmV2LnhtbERPy4rCMBTdD/gP4QruxtRZOFKNIoKDK2Hqa3tJ&#10;rk2xualNrJ2/nywEl4fzXqx6V4uO2lB5VjAZZyCItTcVlwqOh+3nDESIyAZrz6TgjwKsloOPBebG&#10;P/mXuiKWIoVwyFGBjbHJpQzaksMw9g1x4q6+dRgTbEtpWnymcFfLryybSocVpwaLDW0s6VvxcAr2&#10;6PThm87Xuz7pri6m9vKz7pUaDfv1HESkPr7FL/fOKEhb05V0A+TyHw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EnoZ6K9AAAA2gAAAA8AAAAAAAAAAAAAAAAAmwIAAGRycy9kb3ducmV2&#10;LnhtbFBLBQYAAAAABAAEAPMAAACFAwAAAAA=&#10;">
              <v:imagedata r:id="rId11" o:title=""/>
              <o:lock v:ext="edit" aspectratio="f"/>
            </v:shape>
            <w10:wrap type="none"/>
            <w10:anchorlock/>
          </v:group>
        </w:pict>
      </w:r>
    </w:p>
    <w:p w:rsidR="00F66D65" w:rsidRPr="00C90045" w:rsidRDefault="0081425B" w:rsidP="0081425B">
      <w:pPr>
        <w:jc w:val="center"/>
        <w:rPr>
          <w:i/>
          <w:color w:val="000000" w:themeColor="text1"/>
          <w:sz w:val="22"/>
          <w:lang w:val="en-US"/>
        </w:rPr>
      </w:pPr>
      <w:r w:rsidRPr="00C90045">
        <w:rPr>
          <w:b/>
          <w:i/>
          <w:color w:val="000000" w:themeColor="text1"/>
          <w:sz w:val="22"/>
          <w:lang w:val="en-US"/>
        </w:rPr>
        <w:t>Fig.</w:t>
      </w:r>
      <w:r w:rsidR="00C90045">
        <w:rPr>
          <w:b/>
          <w:i/>
          <w:color w:val="000000" w:themeColor="text1"/>
          <w:sz w:val="22"/>
          <w:lang w:val="en-US"/>
        </w:rPr>
        <w:t>2</w:t>
      </w:r>
      <w:r w:rsidR="00EE6E11" w:rsidRPr="00C90045">
        <w:rPr>
          <w:b/>
          <w:i/>
          <w:color w:val="000000" w:themeColor="text1"/>
          <w:sz w:val="22"/>
          <w:lang w:val="en-US"/>
        </w:rPr>
        <w:t>.</w:t>
      </w:r>
      <w:r w:rsidR="00E1347A" w:rsidRPr="00C90045">
        <w:rPr>
          <w:i/>
          <w:color w:val="000000" w:themeColor="text1"/>
          <w:sz w:val="22"/>
          <w:lang w:val="en-US"/>
        </w:rPr>
        <w:t xml:space="preserve"> Activity </w:t>
      </w:r>
      <w:r w:rsidR="00581695" w:rsidRPr="00C90045">
        <w:rPr>
          <w:i/>
          <w:color w:val="000000" w:themeColor="text1"/>
          <w:sz w:val="22"/>
          <w:lang w:val="en-US"/>
        </w:rPr>
        <w:t xml:space="preserve"> c</w:t>
      </w:r>
      <w:r w:rsidR="00E1347A" w:rsidRPr="00C90045">
        <w:rPr>
          <w:i/>
          <w:color w:val="000000" w:themeColor="text1"/>
          <w:sz w:val="22"/>
          <w:lang w:val="en-US"/>
        </w:rPr>
        <w:t xml:space="preserve">oncentration of </w:t>
      </w:r>
      <w:r w:rsidR="00E1347A" w:rsidRPr="00C90045">
        <w:rPr>
          <w:i/>
          <w:color w:val="000000" w:themeColor="text1"/>
          <w:sz w:val="22"/>
          <w:vertAlign w:val="superscript"/>
          <w:lang w:val="en-US"/>
        </w:rPr>
        <w:t>226</w:t>
      </w:r>
      <w:r w:rsidR="00E1347A" w:rsidRPr="00C90045">
        <w:rPr>
          <w:i/>
          <w:color w:val="000000" w:themeColor="text1"/>
          <w:sz w:val="22"/>
          <w:lang w:val="en-US"/>
        </w:rPr>
        <w:t>Ra,</w:t>
      </w:r>
      <w:r w:rsidR="00E1347A" w:rsidRPr="00C90045">
        <w:rPr>
          <w:i/>
          <w:color w:val="000000" w:themeColor="text1"/>
          <w:sz w:val="22"/>
          <w:vertAlign w:val="superscript"/>
          <w:lang w:val="en-US"/>
        </w:rPr>
        <w:t xml:space="preserve"> 232</w:t>
      </w:r>
      <w:r w:rsidR="00E1347A" w:rsidRPr="00C90045">
        <w:rPr>
          <w:i/>
          <w:color w:val="000000" w:themeColor="text1"/>
          <w:sz w:val="22"/>
          <w:lang w:val="en-US"/>
        </w:rPr>
        <w:t xml:space="preserve">Th and </w:t>
      </w:r>
      <w:r w:rsidR="00E1347A" w:rsidRPr="00C90045">
        <w:rPr>
          <w:i/>
          <w:color w:val="000000" w:themeColor="text1"/>
          <w:sz w:val="22"/>
          <w:vertAlign w:val="superscript"/>
          <w:lang w:val="en-US"/>
        </w:rPr>
        <w:t>40</w:t>
      </w:r>
      <w:r w:rsidR="00E1347A" w:rsidRPr="00C90045">
        <w:rPr>
          <w:i/>
          <w:color w:val="000000" w:themeColor="text1"/>
          <w:sz w:val="22"/>
          <w:lang w:val="en-US"/>
        </w:rPr>
        <w:t>K in soil samples</w:t>
      </w:r>
      <w:r w:rsidR="00521A40" w:rsidRPr="00C90045">
        <w:rPr>
          <w:i/>
          <w:color w:val="000000" w:themeColor="text1"/>
          <w:sz w:val="22"/>
          <w:lang w:val="en-US"/>
        </w:rPr>
        <w:t>:</w:t>
      </w:r>
      <w:r w:rsidR="00E1347A" w:rsidRPr="00C90045">
        <w:rPr>
          <w:i/>
          <w:color w:val="000000" w:themeColor="text1"/>
          <w:sz w:val="22"/>
          <w:lang w:val="en-US"/>
        </w:rPr>
        <w:t xml:space="preserve"> a</w:t>
      </w:r>
      <w:r w:rsidR="00521A40" w:rsidRPr="00C90045">
        <w:rPr>
          <w:i/>
          <w:color w:val="000000" w:themeColor="text1"/>
          <w:sz w:val="22"/>
          <w:lang w:val="en-US"/>
        </w:rPr>
        <w:t>.</w:t>
      </w:r>
      <w:r w:rsidR="00E1347A" w:rsidRPr="00C90045">
        <w:rPr>
          <w:i/>
          <w:color w:val="000000" w:themeColor="text1"/>
          <w:sz w:val="22"/>
          <w:lang w:val="en-US"/>
        </w:rPr>
        <w:t xml:space="preserve"> </w:t>
      </w:r>
      <w:r w:rsidR="00E1347A" w:rsidRPr="00C90045">
        <w:rPr>
          <w:i/>
          <w:color w:val="000000" w:themeColor="text1"/>
          <w:sz w:val="22"/>
          <w:vertAlign w:val="superscript"/>
          <w:lang w:val="en-US"/>
        </w:rPr>
        <w:t>226</w:t>
      </w:r>
      <w:r w:rsidR="00E1347A" w:rsidRPr="00C90045">
        <w:rPr>
          <w:i/>
          <w:color w:val="000000" w:themeColor="text1"/>
          <w:sz w:val="22"/>
          <w:lang w:val="en-US"/>
        </w:rPr>
        <w:t>Ra,b</w:t>
      </w:r>
      <w:r w:rsidR="00521A40" w:rsidRPr="00C90045">
        <w:rPr>
          <w:i/>
          <w:color w:val="000000" w:themeColor="text1"/>
          <w:sz w:val="22"/>
          <w:lang w:val="en-US"/>
        </w:rPr>
        <w:t>.</w:t>
      </w:r>
      <w:r w:rsidRPr="00C90045">
        <w:rPr>
          <w:i/>
          <w:color w:val="000000" w:themeColor="text1"/>
          <w:sz w:val="22"/>
          <w:lang w:val="en-US"/>
        </w:rPr>
        <w:t xml:space="preserve"> </w:t>
      </w:r>
      <w:r w:rsidR="00E1347A" w:rsidRPr="00C90045">
        <w:rPr>
          <w:i/>
          <w:color w:val="000000" w:themeColor="text1"/>
          <w:sz w:val="22"/>
          <w:vertAlign w:val="superscript"/>
          <w:lang w:val="en-US"/>
        </w:rPr>
        <w:t>232</w:t>
      </w:r>
      <w:r w:rsidR="00E1347A" w:rsidRPr="00C90045">
        <w:rPr>
          <w:i/>
          <w:color w:val="000000" w:themeColor="text1"/>
          <w:sz w:val="22"/>
          <w:lang w:val="en-US"/>
        </w:rPr>
        <w:t>Th and c</w:t>
      </w:r>
      <w:r w:rsidR="00521A40" w:rsidRPr="00C90045">
        <w:rPr>
          <w:i/>
          <w:color w:val="000000" w:themeColor="text1"/>
          <w:sz w:val="22"/>
          <w:lang w:val="en-US"/>
        </w:rPr>
        <w:t>.</w:t>
      </w:r>
      <w:r w:rsidR="00E1347A" w:rsidRPr="00C90045">
        <w:rPr>
          <w:i/>
          <w:color w:val="000000" w:themeColor="text1"/>
          <w:sz w:val="22"/>
          <w:vertAlign w:val="superscript"/>
          <w:lang w:val="en-US"/>
        </w:rPr>
        <w:t>40</w:t>
      </w:r>
      <w:r w:rsidR="00E1347A" w:rsidRPr="00C90045">
        <w:rPr>
          <w:i/>
          <w:color w:val="000000" w:themeColor="text1"/>
          <w:sz w:val="22"/>
          <w:lang w:val="en-US"/>
        </w:rPr>
        <w:t>K.</w:t>
      </w:r>
    </w:p>
    <w:p w:rsidR="00C90045" w:rsidRDefault="00C90045" w:rsidP="00B45D4C">
      <w:pPr>
        <w:spacing w:before="120" w:after="120"/>
        <w:jc w:val="thaiDistribute"/>
        <w:rPr>
          <w:b/>
          <w:bCs/>
          <w:color w:val="000000" w:themeColor="text1"/>
          <w:szCs w:val="24"/>
          <w:lang w:val="en-US"/>
        </w:rPr>
      </w:pPr>
      <w:bookmarkStart w:id="0" w:name="_GoBack"/>
      <w:bookmarkEnd w:id="0"/>
    </w:p>
    <w:p w:rsidR="00C90045" w:rsidRDefault="00C90045" w:rsidP="00B45D4C">
      <w:pPr>
        <w:spacing w:before="120" w:after="120"/>
        <w:jc w:val="thaiDistribute"/>
        <w:rPr>
          <w:b/>
          <w:bCs/>
          <w:color w:val="000000" w:themeColor="text1"/>
          <w:szCs w:val="24"/>
          <w:lang w:val="en-US"/>
        </w:rPr>
      </w:pPr>
    </w:p>
    <w:p w:rsidR="00C90045" w:rsidRDefault="00C90045" w:rsidP="00B45D4C">
      <w:pPr>
        <w:spacing w:before="120" w:after="120"/>
        <w:jc w:val="thaiDistribute"/>
        <w:rPr>
          <w:b/>
          <w:bCs/>
          <w:color w:val="000000" w:themeColor="text1"/>
          <w:szCs w:val="24"/>
          <w:lang w:val="en-US"/>
        </w:rPr>
      </w:pPr>
    </w:p>
    <w:p w:rsidR="000B5941" w:rsidRPr="00C90045" w:rsidRDefault="001A3AE4" w:rsidP="00B45D4C">
      <w:pPr>
        <w:spacing w:before="120" w:after="120"/>
        <w:jc w:val="thaiDistribute"/>
        <w:rPr>
          <w:rFonts w:eastAsiaTheme="minorEastAsia"/>
          <w:i/>
          <w:color w:val="000000" w:themeColor="text1"/>
          <w:sz w:val="22"/>
          <w:lang w:val="en-US" w:bidi="lo-LA"/>
        </w:rPr>
      </w:pPr>
      <w:r w:rsidRPr="00B45D4C">
        <w:rPr>
          <w:b/>
          <w:bCs/>
          <w:color w:val="000000" w:themeColor="text1"/>
          <w:szCs w:val="24"/>
          <w:lang w:val="en-US"/>
        </w:rPr>
        <w:lastRenderedPageBreak/>
        <w:t>Table 1</w:t>
      </w:r>
      <w:r w:rsidR="000B5941" w:rsidRPr="00B45D4C">
        <w:rPr>
          <w:color w:val="000000" w:themeColor="text1"/>
          <w:szCs w:val="24"/>
          <w:lang w:val="en-US" w:bidi="lo-LA"/>
        </w:rPr>
        <w:t>.</w:t>
      </w:r>
      <w:r w:rsidR="00C90045">
        <w:rPr>
          <w:color w:val="000000" w:themeColor="text1"/>
          <w:szCs w:val="24"/>
          <w:lang w:val="en-US" w:bidi="lo-LA"/>
        </w:rPr>
        <w:t xml:space="preserve"> </w:t>
      </w:r>
      <w:r w:rsidR="000B5941" w:rsidRPr="00C90045">
        <w:rPr>
          <w:i/>
          <w:color w:val="000000" w:themeColor="text1"/>
          <w:sz w:val="22"/>
          <w:lang w:val="en-US" w:bidi="lo-LA"/>
        </w:rPr>
        <w:t>Radium equivalent (Ra</w:t>
      </w:r>
      <w:r w:rsidR="000B5941" w:rsidRPr="00C90045">
        <w:rPr>
          <w:i/>
          <w:color w:val="000000" w:themeColor="text1"/>
          <w:sz w:val="22"/>
          <w:vertAlign w:val="subscript"/>
          <w:lang w:val="en-US" w:bidi="lo-LA"/>
        </w:rPr>
        <w:t>eq</w:t>
      </w:r>
      <w:r w:rsidR="000B5941" w:rsidRPr="00C90045">
        <w:rPr>
          <w:i/>
          <w:color w:val="000000" w:themeColor="text1"/>
          <w:sz w:val="22"/>
          <w:lang w:val="en-US" w:bidi="lo-LA"/>
        </w:rPr>
        <w:t>),</w:t>
      </w:r>
      <w:r w:rsidR="00F66216" w:rsidRPr="00C90045">
        <w:rPr>
          <w:i/>
          <w:color w:val="000000" w:themeColor="text1"/>
          <w:sz w:val="22"/>
          <w:lang w:val="en-US" w:bidi="lo-LA"/>
        </w:rPr>
        <w:t xml:space="preserve"> g</w:t>
      </w:r>
      <w:r w:rsidR="000B5941" w:rsidRPr="00C90045">
        <w:rPr>
          <w:i/>
          <w:color w:val="000000" w:themeColor="text1"/>
          <w:sz w:val="22"/>
          <w:lang w:val="en-US" w:bidi="lo-LA"/>
        </w:rPr>
        <w:t>amma-ray absorbed does,</w:t>
      </w:r>
      <w:r w:rsidR="00F66216" w:rsidRPr="00C90045">
        <w:rPr>
          <w:i/>
          <w:color w:val="000000" w:themeColor="text1"/>
          <w:sz w:val="22"/>
          <w:lang w:val="en-US" w:bidi="lo-LA"/>
        </w:rPr>
        <w:t xml:space="preserve"> a</w:t>
      </w:r>
      <w:r w:rsidR="000B5941" w:rsidRPr="00C90045">
        <w:rPr>
          <w:i/>
          <w:color w:val="000000" w:themeColor="text1"/>
          <w:sz w:val="22"/>
          <w:lang w:val="en-US" w:bidi="lo-LA"/>
        </w:rPr>
        <w:t>nnual effective does,</w:t>
      </w:r>
      <w:r w:rsidR="00F66216" w:rsidRPr="00C90045">
        <w:rPr>
          <w:rFonts w:eastAsiaTheme="minorEastAsia"/>
          <w:i/>
          <w:color w:val="000000" w:themeColor="text1"/>
          <w:sz w:val="22"/>
          <w:lang w:val="en-US" w:bidi="lo-LA"/>
        </w:rPr>
        <w:t>e</w:t>
      </w:r>
      <w:r w:rsidR="009E3A92" w:rsidRPr="00C90045">
        <w:rPr>
          <w:rFonts w:eastAsiaTheme="minorEastAsia"/>
          <w:i/>
          <w:color w:val="000000" w:themeColor="text1"/>
          <w:sz w:val="22"/>
          <w:lang w:val="en-US" w:bidi="lo-LA"/>
        </w:rPr>
        <w:t xml:space="preserve">xternal and  </w:t>
      </w:r>
      <w:r w:rsidR="00F66216" w:rsidRPr="00C90045">
        <w:rPr>
          <w:rFonts w:eastAsiaTheme="minorEastAsia"/>
          <w:i/>
          <w:color w:val="000000" w:themeColor="text1"/>
          <w:sz w:val="22"/>
          <w:lang w:val="en-US" w:bidi="lo-LA"/>
        </w:rPr>
        <w:t>i</w:t>
      </w:r>
      <w:r w:rsidR="009E3A92" w:rsidRPr="00C90045">
        <w:rPr>
          <w:i/>
          <w:color w:val="000000" w:themeColor="text1"/>
          <w:sz w:val="22"/>
          <w:lang w:val="en-US"/>
        </w:rPr>
        <w:t>nternal</w:t>
      </w:r>
      <w:r w:rsidR="00F66216" w:rsidRPr="00C90045">
        <w:rPr>
          <w:rFonts w:eastAsiaTheme="minorEastAsia"/>
          <w:i/>
          <w:color w:val="000000" w:themeColor="text1"/>
          <w:sz w:val="22"/>
          <w:lang w:val="en-US" w:bidi="lo-LA"/>
        </w:rPr>
        <w:t>hazard i</w:t>
      </w:r>
      <w:r w:rsidR="009E3A92" w:rsidRPr="00C90045">
        <w:rPr>
          <w:rFonts w:eastAsiaTheme="minorEastAsia"/>
          <w:i/>
          <w:color w:val="000000" w:themeColor="text1"/>
          <w:sz w:val="22"/>
          <w:lang w:val="en-US" w:bidi="lo-LA"/>
        </w:rPr>
        <w:t>ndex</w:t>
      </w:r>
      <w:r w:rsidR="00F66216" w:rsidRPr="00C90045">
        <w:rPr>
          <w:rFonts w:eastAsiaTheme="minorEastAsia"/>
          <w:i/>
          <w:color w:val="000000" w:themeColor="text1"/>
          <w:sz w:val="22"/>
          <w:lang w:val="en-US" w:bidi="lo-LA"/>
        </w:rPr>
        <w:t xml:space="preserve"> from the </w:t>
      </w:r>
      <w:r w:rsidR="00C34AE7" w:rsidRPr="00C90045">
        <w:rPr>
          <w:rFonts w:eastAsiaTheme="minorEastAsia"/>
          <w:i/>
          <w:color w:val="000000" w:themeColor="text1"/>
          <w:sz w:val="22"/>
          <w:lang w:val="en-US" w:bidi="lo-LA"/>
        </w:rPr>
        <w:t xml:space="preserve">surface </w:t>
      </w:r>
      <w:r w:rsidR="00F66216" w:rsidRPr="00C90045">
        <w:rPr>
          <w:rFonts w:eastAsiaTheme="minorEastAsia"/>
          <w:i/>
          <w:color w:val="000000" w:themeColor="text1"/>
          <w:sz w:val="22"/>
          <w:lang w:val="en-US" w:bidi="lo-LA"/>
        </w:rPr>
        <w:t xml:space="preserve">soil samples collected from </w:t>
      </w:r>
      <w:r w:rsidR="00E70EE5" w:rsidRPr="00C90045">
        <w:rPr>
          <w:rFonts w:eastAsiaTheme="minorEastAsia"/>
          <w:i/>
          <w:color w:val="000000" w:themeColor="text1"/>
          <w:sz w:val="22"/>
          <w:lang w:val="en-US" w:bidi="lo-LA"/>
        </w:rPr>
        <w:t>Bo</w:t>
      </w:r>
      <w:r w:rsidR="00F66216" w:rsidRPr="00C90045">
        <w:rPr>
          <w:rFonts w:eastAsiaTheme="minorEastAsia"/>
          <w:i/>
          <w:color w:val="000000" w:themeColor="text1"/>
          <w:sz w:val="22"/>
          <w:lang w:val="en-US" w:bidi="lo-LA"/>
        </w:rPr>
        <w:t>likhamxay provin</w:t>
      </w:r>
      <w:r w:rsidR="00E70EE5" w:rsidRPr="00C90045">
        <w:rPr>
          <w:rFonts w:eastAsiaTheme="minorEastAsia"/>
          <w:i/>
          <w:color w:val="000000" w:themeColor="text1"/>
          <w:sz w:val="22"/>
          <w:lang w:val="en-US" w:bidi="lo-LA"/>
        </w:rPr>
        <w:t>c</w:t>
      </w:r>
      <w:r w:rsidR="00F66216" w:rsidRPr="00C90045">
        <w:rPr>
          <w:rFonts w:eastAsiaTheme="minorEastAsia"/>
          <w:i/>
          <w:color w:val="000000" w:themeColor="text1"/>
          <w:sz w:val="22"/>
          <w:lang w:val="en-US" w:bidi="lo-LA"/>
        </w:rPr>
        <w:t>e, Laos</w:t>
      </w:r>
      <w:r w:rsidR="000B5941" w:rsidRPr="00C90045">
        <w:rPr>
          <w:rFonts w:eastAsiaTheme="minorEastAsia"/>
          <w:i/>
          <w:color w:val="000000" w:themeColor="text1"/>
          <w:sz w:val="22"/>
          <w:lang w:val="en-US" w:bidi="lo-LA"/>
        </w:rPr>
        <w:t>.</w:t>
      </w:r>
    </w:p>
    <w:tbl>
      <w:tblPr>
        <w:tblW w:w="9283" w:type="dxa"/>
        <w:jc w:val="center"/>
        <w:tblInd w:w="91" w:type="dxa"/>
        <w:tblLayout w:type="fixed"/>
        <w:tblLook w:val="04A0"/>
      </w:tblPr>
      <w:tblGrid>
        <w:gridCol w:w="958"/>
        <w:gridCol w:w="1701"/>
        <w:gridCol w:w="1842"/>
        <w:gridCol w:w="1876"/>
        <w:gridCol w:w="1488"/>
        <w:gridCol w:w="1418"/>
      </w:tblGrid>
      <w:tr w:rsidR="00F66216" w:rsidRPr="00B45D4C" w:rsidTr="0056634C">
        <w:trPr>
          <w:jc w:val="center"/>
        </w:trPr>
        <w:tc>
          <w:tcPr>
            <w:tcW w:w="958" w:type="dxa"/>
          </w:tcPr>
          <w:p w:rsidR="00F66216" w:rsidRPr="00B45D4C" w:rsidRDefault="0056634C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Sample</w:t>
            </w:r>
          </w:p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code</w:t>
            </w:r>
          </w:p>
        </w:tc>
        <w:tc>
          <w:tcPr>
            <w:tcW w:w="1701" w:type="dxa"/>
          </w:tcPr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Ra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vertAlign w:val="subscript"/>
                <w:lang w:val="en-US" w:bidi="lo-LA"/>
              </w:rPr>
              <w:t>eq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(Bqkg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vertAlign w:val="superscript"/>
                <w:lang w:val="en-US" w:bidi="lo-LA"/>
              </w:rPr>
              <w:t>-1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)</w:t>
            </w:r>
          </w:p>
        </w:tc>
        <w:tc>
          <w:tcPr>
            <w:tcW w:w="1842" w:type="dxa"/>
          </w:tcPr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Absorbed</w:t>
            </w:r>
          </w:p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Does rate</w:t>
            </w:r>
          </w:p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nGyh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vertAlign w:val="superscript"/>
                <w:lang w:val="en-US" w:bidi="lo-LA"/>
              </w:rPr>
              <w:t>-1</w:t>
            </w:r>
          </w:p>
        </w:tc>
        <w:tc>
          <w:tcPr>
            <w:tcW w:w="1876" w:type="dxa"/>
          </w:tcPr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Annual</w:t>
            </w:r>
          </w:p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 xml:space="preserve">Effective dose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22"/>
                  <w:lang w:val="en-US" w:bidi="lo-LA"/>
                </w:rPr>
                <m:t>E</m:t>
              </m:r>
              <m:r>
                <w:rPr>
                  <w:rFonts w:ascii="Cambria Math" w:eastAsiaTheme="minorEastAsia" w:cs="Times New Roman"/>
                  <w:color w:val="000000" w:themeColor="text1"/>
                  <w:sz w:val="22"/>
                  <w:lang w:val="en-US" w:bidi="lo-LA"/>
                </w:rPr>
                <m:t>(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22"/>
                  <w:lang w:val="en-US" w:bidi="lo-LA"/>
                </w:rPr>
                <m:t>mSv</m:t>
              </m:r>
              <m:r>
                <w:rPr>
                  <w:rFonts w:ascii="Cambria Math" w:eastAsiaTheme="minorEastAsia" w:cs="Times New Roman"/>
                  <w:color w:val="000000" w:themeColor="text1"/>
                  <w:sz w:val="22"/>
                  <w:lang w:val="en-US" w:bidi="lo-LA"/>
                </w:rPr>
                <m:t>/</m:t>
              </m:r>
              <m:r>
                <m:rPr>
                  <m:sty m:val="p"/>
                </m:rPr>
                <w:rPr>
                  <w:rFonts w:ascii="Cambria Math" w:eastAsiaTheme="minorEastAsia" w:cs="Times New Roman"/>
                  <w:color w:val="000000" w:themeColor="text1"/>
                  <w:sz w:val="22"/>
                  <w:lang w:val="en-US" w:bidi="lo-LA"/>
                </w:rPr>
                <m:t>y</m:t>
              </m:r>
              <m:r>
                <w:rPr>
                  <w:rFonts w:ascii="Cambria Math" w:eastAsiaTheme="minorEastAsia" w:cs="Times New Roman"/>
                  <w:color w:val="000000" w:themeColor="text1"/>
                  <w:sz w:val="22"/>
                  <w:lang w:val="en-US" w:bidi="lo-LA"/>
                </w:rPr>
                <m:t>)</m:t>
              </m:r>
            </m:oMath>
          </w:p>
        </w:tc>
        <w:tc>
          <w:tcPr>
            <w:tcW w:w="1488" w:type="dxa"/>
          </w:tcPr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External hazard index (H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vertAlign w:val="subscript"/>
                <w:lang w:val="en-US" w:bidi="lo-LA"/>
              </w:rPr>
              <w:t>ex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)</w:t>
            </w:r>
          </w:p>
        </w:tc>
        <w:tc>
          <w:tcPr>
            <w:tcW w:w="1418" w:type="dxa"/>
          </w:tcPr>
          <w:p w:rsidR="00F66216" w:rsidRPr="00B45D4C" w:rsidRDefault="00F66216" w:rsidP="00791D26">
            <w:pPr>
              <w:spacing w:after="0" w:line="240" w:lineRule="auto"/>
              <w:jc w:val="center"/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Internal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 xml:space="preserve"> hazard index (H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vertAlign w:val="subscript"/>
                <w:lang w:val="en-US" w:bidi="lo-LA"/>
              </w:rPr>
              <w:t>in</w:t>
            </w:r>
            <w:r w:rsidRPr="00B45D4C">
              <w:rPr>
                <w:rFonts w:eastAsiaTheme="minorEastAsia" w:cs="Times New Roman"/>
                <w:color w:val="000000" w:themeColor="text1"/>
                <w:sz w:val="22"/>
                <w:lang w:val="en-US" w:bidi="lo-LA"/>
              </w:rPr>
              <w:t>)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791D26" w:rsidRDefault="00791D26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</w:p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T1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124.57±</w:t>
            </w:r>
            <w:r w:rsidR="00527218" w:rsidRPr="00B45D4C">
              <w:rPr>
                <w:rFonts w:cs="Times New Roman"/>
                <w:color w:val="000000" w:themeColor="text1"/>
                <w:sz w:val="22"/>
                <w:lang w:val="en-US"/>
              </w:rPr>
              <w:t>12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.61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105.74±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15.40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0.13±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0.34±</w:t>
            </w:r>
            <w:r w:rsidR="00C21D09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0.45±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T2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160.27±</w:t>
            </w:r>
            <w:r w:rsidR="00527218" w:rsidRPr="00B45D4C">
              <w:rPr>
                <w:rFonts w:cs="Times New Roman"/>
                <w:color w:val="000000" w:themeColor="text1"/>
                <w:sz w:val="22"/>
                <w:lang w:val="en-US"/>
              </w:rPr>
              <w:t>17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.05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139.98±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18.43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0.17±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0.44±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0.55±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0.07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T3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172.91±</w:t>
            </w:r>
            <w:r w:rsidR="00527218" w:rsidRPr="00B45D4C">
              <w:rPr>
                <w:rFonts w:cs="Times New Roman"/>
                <w:color w:val="000000" w:themeColor="text1"/>
                <w:sz w:val="22"/>
                <w:lang w:val="en-US"/>
              </w:rPr>
              <w:t>18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.07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151.80±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18.68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0.48±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0.05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0.61±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0.08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T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1701" w:type="dxa"/>
            <w:vAlign w:val="bottom"/>
          </w:tcPr>
          <w:p w:rsidR="000B5941" w:rsidRPr="00B45D4C" w:rsidRDefault="00527218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178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11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18.51</w:t>
            </w:r>
          </w:p>
        </w:tc>
        <w:tc>
          <w:tcPr>
            <w:tcW w:w="1842" w:type="dxa"/>
            <w:vAlign w:val="bottom"/>
          </w:tcPr>
          <w:p w:rsidR="000B5941" w:rsidRPr="00B45D4C" w:rsidRDefault="00B5711F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105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74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11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.76</w:t>
            </w:r>
          </w:p>
        </w:tc>
        <w:tc>
          <w:tcPr>
            <w:tcW w:w="1876" w:type="dxa"/>
            <w:vAlign w:val="bottom"/>
          </w:tcPr>
          <w:p w:rsidR="000B5941" w:rsidRPr="00B45D4C" w:rsidRDefault="00B5711F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13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0.02</w:t>
            </w:r>
          </w:p>
        </w:tc>
        <w:tc>
          <w:tcPr>
            <w:tcW w:w="1488" w:type="dxa"/>
            <w:vAlign w:val="bottom"/>
          </w:tcPr>
          <w:p w:rsidR="000B5941" w:rsidRPr="00B45D4C" w:rsidRDefault="00B5711F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0. 34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0.04</w:t>
            </w:r>
          </w:p>
        </w:tc>
        <w:tc>
          <w:tcPr>
            <w:tcW w:w="1418" w:type="dxa"/>
            <w:vAlign w:val="bottom"/>
          </w:tcPr>
          <w:p w:rsidR="000B5941" w:rsidRPr="00B45D4C" w:rsidRDefault="00B5711F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0.45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HT5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214.44±</w:t>
            </w:r>
            <w:r w:rsidR="00527218" w:rsidRPr="00B45D4C">
              <w:rPr>
                <w:rFonts w:cs="Times New Roman"/>
                <w:color w:val="000000" w:themeColor="text1"/>
                <w:sz w:val="22"/>
                <w:lang w:val="en-US"/>
              </w:rPr>
              <w:t>24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.23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187.79±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21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.91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0.23±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0.03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0.07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0.73±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09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HP1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79.37±</w:t>
            </w:r>
            <w:r w:rsidR="00B717F6" w:rsidRPr="00B45D4C">
              <w:rPr>
                <w:rFonts w:cs="Times New Roman"/>
                <w:color w:val="000000" w:themeColor="text1"/>
                <w:sz w:val="22"/>
                <w:lang w:val="en-US"/>
              </w:rPr>
              <w:t>9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.26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68.50±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8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.63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0.08±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</w:t>
            </w:r>
            <w:r w:rsidR="00B717F6" w:rsidRPr="00B45D4C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0.22±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B5941" w:rsidRPr="00B45D4C" w:rsidRDefault="00B717F6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28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HP2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188.01±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10.24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162.34±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8.61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0.20±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18" w:type="dxa"/>
            <w:vAlign w:val="bottom"/>
          </w:tcPr>
          <w:p w:rsidR="000B5941" w:rsidRPr="00B45D4C" w:rsidRDefault="004800D5" w:rsidP="004800D5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67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0.09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HP4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73.36±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26.11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65.27±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8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.80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0.08±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</w:t>
            </w:r>
            <w:r w:rsidR="004800D5" w:rsidRPr="00B45D4C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0.07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4800D5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="004800D5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27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HP5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121.96±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10.06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106.77±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8.56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0.34±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4800D5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="004800D5" w:rsidRPr="00B45D4C">
              <w:rPr>
                <w:rFonts w:cs="Times New Roman"/>
                <w:color w:val="000000" w:themeColor="text1"/>
                <w:sz w:val="22"/>
                <w:lang w:val="en-US"/>
              </w:rPr>
              <w:t>43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HB1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89.42±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6.28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77.88±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8.3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0.10±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0.24±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0.02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0.33±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0.04 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HB2</w:t>
            </w:r>
          </w:p>
        </w:tc>
        <w:tc>
          <w:tcPr>
            <w:tcW w:w="1701" w:type="dxa"/>
            <w:vAlign w:val="bottom"/>
          </w:tcPr>
          <w:p w:rsidR="000B5941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255.0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1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33.87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226.07±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28.63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0.70±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0.08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0.89±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0.12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HB3</w:t>
            </w:r>
          </w:p>
        </w:tc>
        <w:tc>
          <w:tcPr>
            <w:tcW w:w="1701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2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20.84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28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.27</w:t>
            </w:r>
          </w:p>
        </w:tc>
        <w:tc>
          <w:tcPr>
            <w:tcW w:w="1842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199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14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21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.75</w:t>
            </w:r>
          </w:p>
        </w:tc>
        <w:tc>
          <w:tcPr>
            <w:tcW w:w="1876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24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61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0.79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HB4</w:t>
            </w:r>
          </w:p>
        </w:tc>
        <w:tc>
          <w:tcPr>
            <w:tcW w:w="1701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192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19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21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.78</w:t>
            </w:r>
          </w:p>
        </w:tc>
        <w:tc>
          <w:tcPr>
            <w:tcW w:w="1842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174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03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20.1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1876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0.77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HB5</w:t>
            </w:r>
          </w:p>
        </w:tc>
        <w:tc>
          <w:tcPr>
            <w:tcW w:w="1701" w:type="dxa"/>
            <w:vAlign w:val="bottom"/>
          </w:tcPr>
          <w:p w:rsidR="000B5941" w:rsidRPr="00B45D4C" w:rsidRDefault="0056634C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  <w:r w:rsidRPr="00B45D4C">
              <w:rPr>
                <w:rFonts w:cs="Times New Roman"/>
                <w:color w:val="000000" w:themeColor="text1"/>
                <w:sz w:val="22"/>
              </w:rPr>
              <w:t>6.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91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17.06</w:t>
            </w:r>
          </w:p>
        </w:tc>
        <w:tc>
          <w:tcPr>
            <w:tcW w:w="1842" w:type="dxa"/>
            <w:vAlign w:val="bottom"/>
          </w:tcPr>
          <w:p w:rsidR="000B5941" w:rsidRPr="00B45D4C" w:rsidRDefault="0056634C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30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63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14.53</w:t>
            </w:r>
          </w:p>
        </w:tc>
        <w:tc>
          <w:tcPr>
            <w:tcW w:w="1876" w:type="dxa"/>
            <w:vAlign w:val="bottom"/>
          </w:tcPr>
          <w:p w:rsidR="000B5941" w:rsidRPr="00B45D4C" w:rsidRDefault="0056634C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0.02</w:t>
            </w:r>
          </w:p>
        </w:tc>
        <w:tc>
          <w:tcPr>
            <w:tcW w:w="1488" w:type="dxa"/>
            <w:vAlign w:val="bottom"/>
          </w:tcPr>
          <w:p w:rsidR="000B5941" w:rsidRPr="00B45D4C" w:rsidRDefault="0056634C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40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  <w:tc>
          <w:tcPr>
            <w:tcW w:w="1418" w:type="dxa"/>
            <w:vAlign w:val="bottom"/>
          </w:tcPr>
          <w:p w:rsidR="000B5941" w:rsidRPr="00B45D4C" w:rsidRDefault="0056634C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52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Pd1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150.84±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19.31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132.72±</w:t>
            </w:r>
            <w:r w:rsidR="0056634C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14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.42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0.16±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0.07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Pd2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116.37±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15.28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99.05±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12.74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0.12±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0.32±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Pd3</w:t>
            </w:r>
          </w:p>
        </w:tc>
        <w:tc>
          <w:tcPr>
            <w:tcW w:w="1701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227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88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38.91</w:t>
            </w:r>
          </w:p>
        </w:tc>
        <w:tc>
          <w:tcPr>
            <w:tcW w:w="1842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89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44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25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.83</w:t>
            </w:r>
          </w:p>
        </w:tc>
        <w:tc>
          <w:tcPr>
            <w:tcW w:w="1876" w:type="dxa"/>
            <w:vAlign w:val="bottom"/>
          </w:tcPr>
          <w:p w:rsidR="000B5941" w:rsidRPr="00B45D4C" w:rsidRDefault="005B5AEE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</w:t>
            </w:r>
            <w:r w:rsidR="00B717F6" w:rsidRPr="00B45D4C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B5941" w:rsidRPr="00B45D4C" w:rsidRDefault="00B717F6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62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08</w:t>
            </w:r>
          </w:p>
        </w:tc>
        <w:tc>
          <w:tcPr>
            <w:tcW w:w="1418" w:type="dxa"/>
            <w:vAlign w:val="bottom"/>
          </w:tcPr>
          <w:p w:rsidR="000B5941" w:rsidRPr="00B45D4C" w:rsidRDefault="00B717F6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83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0.11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Pd4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103.17±</w:t>
            </w:r>
            <w:r w:rsidR="0056634C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17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.93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88.48±</w:t>
            </w:r>
            <w:r w:rsidR="0056634C" w:rsidRPr="00B45D4C">
              <w:rPr>
                <w:rFonts w:cs="Times New Roman"/>
                <w:color w:val="000000" w:themeColor="text1"/>
                <w:sz w:val="22"/>
                <w:lang w:val="en-US"/>
              </w:rPr>
              <w:t>9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.69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0.37±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Pd5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83.13±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11.55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70.98±</w:t>
            </w:r>
            <w:r w:rsidR="0056634C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8.9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0.09±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Pd6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144.04±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17.02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130.53±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14.60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0.16±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Pd7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167.23±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19.36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153.89±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16.79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0.47±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0.56±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0.07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Pd8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152.01±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17.84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138.91±</w:t>
            </w:r>
            <w:r w:rsidR="0056634C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14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.45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0.17±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0.42±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0.52±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</w:t>
            </w:r>
            <w:r w:rsidRPr="00B45D4C">
              <w:rPr>
                <w:rFonts w:cs="Times New Roman"/>
                <w:color w:val="000000" w:themeColor="text1"/>
                <w:sz w:val="22"/>
              </w:rPr>
              <w:t>Pd9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101.12±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12.04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91.66±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10.36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0.01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0.35±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HK1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139.96±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19.51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122.18±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16.43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0.15±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0.38±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</w:t>
            </w:r>
            <w:r w:rsidR="0056634C" w:rsidRPr="00B45D4C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0.50±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HK2</w:t>
            </w:r>
          </w:p>
        </w:tc>
        <w:tc>
          <w:tcPr>
            <w:tcW w:w="1701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176.95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29.85</w:t>
            </w:r>
          </w:p>
        </w:tc>
        <w:tc>
          <w:tcPr>
            <w:tcW w:w="1842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60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63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18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.59</w:t>
            </w:r>
          </w:p>
        </w:tc>
        <w:tc>
          <w:tcPr>
            <w:tcW w:w="1876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49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  <w:tc>
          <w:tcPr>
            <w:tcW w:w="1418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="000C626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72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0.09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HK3</w:t>
            </w:r>
          </w:p>
        </w:tc>
        <w:tc>
          <w:tcPr>
            <w:tcW w:w="1701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235.37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32</w:t>
            </w:r>
            <w:r w:rsidR="000B5941" w:rsidRPr="00B45D4C">
              <w:rPr>
                <w:rFonts w:cs="Times New Roman"/>
                <w:color w:val="000000" w:themeColor="text1"/>
                <w:sz w:val="22"/>
                <w:lang w:val="en-US"/>
              </w:rPr>
              <w:t>.41</w:t>
            </w:r>
          </w:p>
        </w:tc>
        <w:tc>
          <w:tcPr>
            <w:tcW w:w="1842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214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52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29.15</w:t>
            </w:r>
          </w:p>
        </w:tc>
        <w:tc>
          <w:tcPr>
            <w:tcW w:w="1876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26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B5941" w:rsidRPr="00B45D4C" w:rsidRDefault="006E424A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65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:rsidR="000B5941" w:rsidRPr="00B45D4C" w:rsidRDefault="000C6267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0.85 </w:t>
            </w:r>
            <w:r w:rsidR="000B5941"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0.11</w:t>
            </w:r>
          </w:p>
        </w:tc>
      </w:tr>
      <w:tr w:rsidR="000B5941" w:rsidRPr="00B45D4C" w:rsidTr="0056634C">
        <w:trPr>
          <w:jc w:val="center"/>
        </w:trPr>
        <w:tc>
          <w:tcPr>
            <w:tcW w:w="95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lastRenderedPageBreak/>
              <w:t>HK4</w:t>
            </w:r>
          </w:p>
        </w:tc>
        <w:tc>
          <w:tcPr>
            <w:tcW w:w="1701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214.41±</w:t>
            </w:r>
            <w:r w:rsidR="000C626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25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.01</w:t>
            </w:r>
          </w:p>
        </w:tc>
        <w:tc>
          <w:tcPr>
            <w:tcW w:w="1842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186.11±</w:t>
            </w:r>
            <w:r w:rsidR="000C626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21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.12</w:t>
            </w:r>
          </w:p>
        </w:tc>
        <w:tc>
          <w:tcPr>
            <w:tcW w:w="1876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0.08</w:t>
            </w:r>
          </w:p>
        </w:tc>
        <w:tc>
          <w:tcPr>
            <w:tcW w:w="1418" w:type="dxa"/>
            <w:vAlign w:val="bottom"/>
          </w:tcPr>
          <w:p w:rsidR="000B5941" w:rsidRPr="00B45D4C" w:rsidRDefault="000B5941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0.76±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0.08</w:t>
            </w:r>
          </w:p>
        </w:tc>
      </w:tr>
      <w:tr w:rsidR="000C6267" w:rsidRPr="00B45D4C" w:rsidTr="0056634C">
        <w:trPr>
          <w:jc w:val="center"/>
        </w:trPr>
        <w:tc>
          <w:tcPr>
            <w:tcW w:w="95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HK5</w:t>
            </w:r>
          </w:p>
        </w:tc>
        <w:tc>
          <w:tcPr>
            <w:tcW w:w="1701" w:type="dxa"/>
            <w:vAlign w:val="bottom"/>
          </w:tcPr>
          <w:p w:rsidR="000C6267" w:rsidRPr="00B45D4C" w:rsidRDefault="000C6267" w:rsidP="001E600B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120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87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13.01</w:t>
            </w:r>
          </w:p>
        </w:tc>
        <w:tc>
          <w:tcPr>
            <w:tcW w:w="1842" w:type="dxa"/>
            <w:vAlign w:val="bottom"/>
          </w:tcPr>
          <w:p w:rsidR="000C6267" w:rsidRPr="00B45D4C" w:rsidRDefault="000C6267" w:rsidP="001E600B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04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83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12.12</w:t>
            </w:r>
          </w:p>
        </w:tc>
        <w:tc>
          <w:tcPr>
            <w:tcW w:w="1876" w:type="dxa"/>
            <w:vAlign w:val="bottom"/>
          </w:tcPr>
          <w:p w:rsidR="000C6267" w:rsidRPr="00B45D4C" w:rsidRDefault="000C6267" w:rsidP="001E600B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13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0.02</w:t>
            </w:r>
          </w:p>
        </w:tc>
        <w:tc>
          <w:tcPr>
            <w:tcW w:w="1488" w:type="dxa"/>
            <w:vAlign w:val="bottom"/>
          </w:tcPr>
          <w:p w:rsidR="000C6267" w:rsidRPr="00B45D4C" w:rsidRDefault="000C6267" w:rsidP="001E600B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33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0C6267" w:rsidRPr="00B45D4C" w:rsidRDefault="000C6267" w:rsidP="001E600B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40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5</w:t>
            </w:r>
          </w:p>
        </w:tc>
      </w:tr>
      <w:tr w:rsidR="000C6267" w:rsidRPr="00B45D4C" w:rsidTr="0056634C">
        <w:trPr>
          <w:jc w:val="center"/>
        </w:trPr>
        <w:tc>
          <w:tcPr>
            <w:tcW w:w="95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HV1</w:t>
            </w:r>
          </w:p>
        </w:tc>
        <w:tc>
          <w:tcPr>
            <w:tcW w:w="1701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142.49±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15.75</w:t>
            </w:r>
          </w:p>
        </w:tc>
        <w:tc>
          <w:tcPr>
            <w:tcW w:w="1842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124.05±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13.16</w:t>
            </w:r>
          </w:p>
        </w:tc>
        <w:tc>
          <w:tcPr>
            <w:tcW w:w="1876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0.15±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0.39±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0.04</w:t>
            </w:r>
          </w:p>
        </w:tc>
        <w:tc>
          <w:tcPr>
            <w:tcW w:w="141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9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</w:tr>
      <w:tr w:rsidR="000C6267" w:rsidRPr="00B45D4C" w:rsidTr="0056634C">
        <w:trPr>
          <w:jc w:val="center"/>
        </w:trPr>
        <w:tc>
          <w:tcPr>
            <w:tcW w:w="95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HV2</w:t>
            </w:r>
          </w:p>
        </w:tc>
        <w:tc>
          <w:tcPr>
            <w:tcW w:w="1701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164.06±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17.84</w:t>
            </w:r>
          </w:p>
        </w:tc>
        <w:tc>
          <w:tcPr>
            <w:tcW w:w="1842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143.70±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14.98</w:t>
            </w:r>
          </w:p>
        </w:tc>
        <w:tc>
          <w:tcPr>
            <w:tcW w:w="1876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0.18±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0.45±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58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</w:tr>
      <w:tr w:rsidR="000C6267" w:rsidRPr="00B45D4C" w:rsidTr="0056634C">
        <w:trPr>
          <w:jc w:val="center"/>
        </w:trPr>
        <w:tc>
          <w:tcPr>
            <w:tcW w:w="95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HV3</w:t>
            </w:r>
          </w:p>
        </w:tc>
        <w:tc>
          <w:tcPr>
            <w:tcW w:w="1701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183.21±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20.32</w:t>
            </w:r>
          </w:p>
        </w:tc>
        <w:tc>
          <w:tcPr>
            <w:tcW w:w="1842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164.83±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17.17</w:t>
            </w:r>
          </w:p>
        </w:tc>
        <w:tc>
          <w:tcPr>
            <w:tcW w:w="1876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0.51±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65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0.07</w:t>
            </w:r>
          </w:p>
        </w:tc>
      </w:tr>
      <w:tr w:rsidR="000C6267" w:rsidRPr="00B45D4C" w:rsidTr="0056634C">
        <w:trPr>
          <w:jc w:val="center"/>
        </w:trPr>
        <w:tc>
          <w:tcPr>
            <w:tcW w:w="95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HV4</w:t>
            </w:r>
          </w:p>
        </w:tc>
        <w:tc>
          <w:tcPr>
            <w:tcW w:w="1701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21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07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21.94</w:t>
            </w:r>
          </w:p>
        </w:tc>
        <w:tc>
          <w:tcPr>
            <w:tcW w:w="1842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186.33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19.9</w:t>
            </w:r>
          </w:p>
        </w:tc>
        <w:tc>
          <w:tcPr>
            <w:tcW w:w="1876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3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0.03</w:t>
            </w:r>
          </w:p>
        </w:tc>
        <w:tc>
          <w:tcPr>
            <w:tcW w:w="148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8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0.06</w:t>
            </w:r>
          </w:p>
        </w:tc>
        <w:tc>
          <w:tcPr>
            <w:tcW w:w="141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75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0.08</w:t>
            </w:r>
          </w:p>
        </w:tc>
      </w:tr>
      <w:tr w:rsidR="000C6267" w:rsidRPr="00B45D4C" w:rsidTr="0056634C">
        <w:trPr>
          <w:jc w:val="center"/>
        </w:trPr>
        <w:tc>
          <w:tcPr>
            <w:tcW w:w="95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HV5</w:t>
            </w:r>
          </w:p>
        </w:tc>
        <w:tc>
          <w:tcPr>
            <w:tcW w:w="1701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186.10±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17.26</w:t>
            </w:r>
          </w:p>
        </w:tc>
        <w:tc>
          <w:tcPr>
            <w:tcW w:w="1842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163.84±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20.83</w:t>
            </w:r>
          </w:p>
        </w:tc>
        <w:tc>
          <w:tcPr>
            <w:tcW w:w="1876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0.20±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0.51±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0.06</w:t>
            </w:r>
          </w:p>
        </w:tc>
        <w:tc>
          <w:tcPr>
            <w:tcW w:w="141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64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0.07</w:t>
            </w:r>
          </w:p>
        </w:tc>
      </w:tr>
      <w:tr w:rsidR="000C6267" w:rsidRPr="00B45D4C" w:rsidTr="0056634C">
        <w:trPr>
          <w:jc w:val="center"/>
        </w:trPr>
        <w:tc>
          <w:tcPr>
            <w:tcW w:w="95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Aver.</w:t>
            </w:r>
          </w:p>
        </w:tc>
        <w:tc>
          <w:tcPr>
            <w:tcW w:w="1701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158.75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 16.10</w:t>
            </w:r>
          </w:p>
        </w:tc>
        <w:tc>
          <w:tcPr>
            <w:tcW w:w="1842" w:type="dxa"/>
            <w:vAlign w:val="bottom"/>
          </w:tcPr>
          <w:p w:rsidR="000C6267" w:rsidRPr="00B45D4C" w:rsidRDefault="000C6267" w:rsidP="005A5624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14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</w:t>
            </w:r>
            <w:r w:rsidRPr="00B45D4C">
              <w:rPr>
                <w:rFonts w:cs="Times New Roman"/>
                <w:color w:val="000000" w:themeColor="text1"/>
                <w:sz w:val="22"/>
              </w:rPr>
              <w:t>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31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1</w:t>
            </w:r>
            <w:r w:rsidR="005A5624" w:rsidRPr="00B45D4C">
              <w:rPr>
                <w:rFonts w:cs="Times New Roman"/>
                <w:color w:val="000000" w:themeColor="text1"/>
                <w:sz w:val="22"/>
                <w:lang w:val="en-US"/>
              </w:rPr>
              <w:t>5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.75</w:t>
            </w:r>
          </w:p>
        </w:tc>
        <w:tc>
          <w:tcPr>
            <w:tcW w:w="1876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0.1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7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0.02</w:t>
            </w:r>
          </w:p>
        </w:tc>
        <w:tc>
          <w:tcPr>
            <w:tcW w:w="148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0.4</w:t>
            </w:r>
            <w:r w:rsidRPr="00B45D4C">
              <w:rPr>
                <w:rFonts w:cs="Times New Roman"/>
                <w:color w:val="000000" w:themeColor="text1"/>
                <w:sz w:val="22"/>
                <w:lang w:val="en-US" w:bidi="lo-LA"/>
              </w:rPr>
              <w:t xml:space="preserve">4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0.05</w:t>
            </w:r>
          </w:p>
        </w:tc>
        <w:tc>
          <w:tcPr>
            <w:tcW w:w="1418" w:type="dxa"/>
            <w:vAlign w:val="bottom"/>
          </w:tcPr>
          <w:p w:rsidR="000C6267" w:rsidRPr="00B45D4C" w:rsidRDefault="000C6267" w:rsidP="00741ADD">
            <w:pPr>
              <w:spacing w:line="264" w:lineRule="auto"/>
              <w:jc w:val="right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B45D4C">
              <w:rPr>
                <w:rFonts w:cs="Times New Roman"/>
                <w:color w:val="000000" w:themeColor="text1"/>
                <w:sz w:val="22"/>
              </w:rPr>
              <w:t>0.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 xml:space="preserve">56 </w:t>
            </w:r>
            <w:r w:rsidRPr="00B45D4C">
              <w:rPr>
                <w:rFonts w:cs="Times New Roman"/>
                <w:color w:val="000000" w:themeColor="text1"/>
                <w:sz w:val="22"/>
              </w:rPr>
              <w:t>±</w:t>
            </w:r>
            <w:r w:rsidRPr="00B45D4C">
              <w:rPr>
                <w:rFonts w:cs="Times New Roman"/>
                <w:color w:val="000000" w:themeColor="text1"/>
                <w:sz w:val="22"/>
                <w:lang w:val="en-US"/>
              </w:rPr>
              <w:t>0.0</w:t>
            </w:r>
            <w:r w:rsidR="00600747" w:rsidRPr="00B45D4C">
              <w:rPr>
                <w:rFonts w:cs="Times New Roman"/>
                <w:color w:val="000000" w:themeColor="text1"/>
                <w:sz w:val="22"/>
                <w:lang w:val="en-US"/>
              </w:rPr>
              <w:t>7</w:t>
            </w:r>
          </w:p>
        </w:tc>
      </w:tr>
    </w:tbl>
    <w:p w:rsidR="00327D70" w:rsidRPr="00B45D4C" w:rsidRDefault="00327D70" w:rsidP="00327D70">
      <w:pPr>
        <w:spacing w:before="240"/>
        <w:jc w:val="thaiDistribute"/>
        <w:rPr>
          <w:b/>
          <w:bCs/>
          <w:color w:val="000000" w:themeColor="text1"/>
          <w:sz w:val="28"/>
          <w:szCs w:val="28"/>
          <w:lang w:val="en-US"/>
        </w:rPr>
      </w:pPr>
      <w:r w:rsidRPr="00B45D4C">
        <w:rPr>
          <w:b/>
          <w:bCs/>
          <w:color w:val="000000" w:themeColor="text1"/>
          <w:sz w:val="28"/>
          <w:szCs w:val="28"/>
          <w:lang w:val="en-US"/>
        </w:rPr>
        <w:t xml:space="preserve">4. Conclusion </w:t>
      </w:r>
    </w:p>
    <w:p w:rsidR="00B45D4C" w:rsidRPr="00B45D4C" w:rsidRDefault="00327D70" w:rsidP="00327D70">
      <w:pPr>
        <w:ind w:firstLine="284"/>
        <w:jc w:val="thaiDistribute"/>
        <w:rPr>
          <w:rFonts w:eastAsiaTheme="minorEastAsia"/>
          <w:color w:val="000000" w:themeColor="text1"/>
          <w:szCs w:val="24"/>
          <w:lang w:val="en-US" w:bidi="lo-LA"/>
        </w:rPr>
      </w:pPr>
      <w:r w:rsidRPr="00B45D4C">
        <w:rPr>
          <w:color w:val="000000" w:themeColor="text1"/>
          <w:szCs w:val="24"/>
          <w:lang w:val="en-US"/>
        </w:rPr>
        <w:t>In this work the</w:t>
      </w:r>
      <w:r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 xml:space="preserve">natural </w:t>
      </w:r>
      <w:r w:rsidRPr="00411358">
        <w:rPr>
          <w:color w:val="FF0000"/>
          <w:szCs w:val="24"/>
          <w:lang w:val="en-US"/>
        </w:rPr>
        <w:t>radioactivities</w:t>
      </w:r>
      <w:r w:rsidRPr="00B45D4C">
        <w:rPr>
          <w:color w:val="000000" w:themeColor="text1"/>
          <w:szCs w:val="24"/>
          <w:lang w:val="en-US"/>
        </w:rPr>
        <w:t xml:space="preserve"> in 33 surface soil samples collected from Bolikhamxay province</w:t>
      </w:r>
      <w:r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>were determined using</w:t>
      </w:r>
      <w:r w:rsidRPr="00411358">
        <w:rPr>
          <w:color w:val="FF0000"/>
          <w:szCs w:val="24"/>
          <w:lang w:val="en-US"/>
        </w:rPr>
        <w:t xml:space="preserve"> a</w:t>
      </w:r>
      <w:r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>gamma ray spectrometer with</w:t>
      </w:r>
      <w:r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>HPGe detector.</w:t>
      </w:r>
      <w:r>
        <w:rPr>
          <w:color w:val="000000" w:themeColor="text1"/>
          <w:szCs w:val="24"/>
          <w:lang w:val="en-US"/>
        </w:rPr>
        <w:t xml:space="preserve"> </w:t>
      </w:r>
      <w:r w:rsidRPr="00B45D4C">
        <w:rPr>
          <w:color w:val="000000" w:themeColor="text1"/>
          <w:szCs w:val="24"/>
          <w:lang w:val="en-US"/>
        </w:rPr>
        <w:t xml:space="preserve">The average  </w:t>
      </w:r>
      <w:r w:rsidR="00B45D4C" w:rsidRPr="00B45D4C">
        <w:rPr>
          <w:color w:val="000000" w:themeColor="text1"/>
          <w:szCs w:val="24"/>
          <w:lang w:val="en-US"/>
        </w:rPr>
        <w:t xml:space="preserve">radioactivity concentrations of </w:t>
      </w:r>
      <w:r w:rsidR="00B45D4C"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226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Ra and </w:t>
      </w:r>
      <w:r w:rsidR="00B45D4C"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232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>Th</w:t>
      </w:r>
      <w:r w:rsidR="00B45D4C">
        <w:rPr>
          <w:rFonts w:eastAsiaTheme="minorEastAsia"/>
          <w:color w:val="000000" w:themeColor="text1"/>
          <w:szCs w:val="24"/>
          <w:lang w:val="en-US" w:bidi="lo-LA"/>
        </w:rPr>
        <w:t xml:space="preserve"> 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are </w:t>
      </w:r>
      <w:r w:rsidR="00B45D4C" w:rsidRPr="00B45D4C">
        <w:rPr>
          <w:color w:val="000000" w:themeColor="text1"/>
          <w:szCs w:val="24"/>
          <w:lang w:val="en-US"/>
        </w:rPr>
        <w:t>46.73</w:t>
      </w:r>
      <w:r w:rsidR="00B45D4C" w:rsidRPr="00B45D4C">
        <w:rPr>
          <w:rFonts w:cs="Times New Roman"/>
          <w:color w:val="000000" w:themeColor="text1"/>
          <w:szCs w:val="24"/>
        </w:rPr>
        <w:t>±</w:t>
      </w:r>
      <w:r w:rsidR="00B45D4C" w:rsidRPr="00B45D4C">
        <w:rPr>
          <w:rFonts w:cs="Times New Roman"/>
          <w:color w:val="000000" w:themeColor="text1"/>
          <w:szCs w:val="24"/>
          <w:lang w:val="en-US"/>
        </w:rPr>
        <w:t>5</w:t>
      </w:r>
      <w:r w:rsidR="00B45D4C" w:rsidRPr="00B45D4C">
        <w:rPr>
          <w:color w:val="000000" w:themeColor="text1"/>
          <w:szCs w:val="24"/>
        </w:rPr>
        <w:t>.</w:t>
      </w:r>
      <w:r w:rsidR="00B45D4C" w:rsidRPr="00B45D4C">
        <w:rPr>
          <w:color w:val="000000" w:themeColor="text1"/>
          <w:szCs w:val="24"/>
          <w:lang w:val="en-US"/>
        </w:rPr>
        <w:t>92</w:t>
      </w:r>
      <w:r w:rsidR="00411358">
        <w:rPr>
          <w:color w:val="000000" w:themeColor="text1"/>
          <w:szCs w:val="24"/>
          <w:lang w:val="en-US"/>
        </w:rPr>
        <w:t xml:space="preserve"> </w:t>
      </w:r>
      <w:r w:rsidR="00411358" w:rsidRPr="00411358">
        <w:rPr>
          <w:color w:val="FF0000"/>
          <w:szCs w:val="24"/>
          <w:lang w:val="en-US"/>
        </w:rPr>
        <w:t>and</w:t>
      </w:r>
      <w:r w:rsidR="00B45D4C" w:rsidRPr="00B45D4C">
        <w:rPr>
          <w:color w:val="000000" w:themeColor="text1"/>
          <w:szCs w:val="24"/>
          <w:lang w:val="en-US"/>
        </w:rPr>
        <w:t xml:space="preserve"> 57</w:t>
      </w:r>
      <w:r w:rsidR="00B45D4C" w:rsidRPr="00B45D4C">
        <w:rPr>
          <w:color w:val="000000" w:themeColor="text1"/>
          <w:szCs w:val="24"/>
        </w:rPr>
        <w:t>.</w:t>
      </w:r>
      <w:r w:rsidR="00B45D4C" w:rsidRPr="00B45D4C">
        <w:rPr>
          <w:color w:val="000000" w:themeColor="text1"/>
          <w:szCs w:val="24"/>
          <w:lang w:val="en-US"/>
        </w:rPr>
        <w:t>95</w:t>
      </w:r>
      <w:r w:rsidR="00B45D4C" w:rsidRPr="00B45D4C">
        <w:rPr>
          <w:rFonts w:cs="Times New Roman"/>
          <w:color w:val="000000" w:themeColor="text1"/>
          <w:szCs w:val="24"/>
        </w:rPr>
        <w:t>±</w:t>
      </w:r>
      <w:r w:rsidR="00B45D4C" w:rsidRPr="00B45D4C">
        <w:rPr>
          <w:rFonts w:cs="Times New Roman"/>
          <w:color w:val="000000" w:themeColor="text1"/>
          <w:szCs w:val="24"/>
          <w:lang w:val="en-US"/>
        </w:rPr>
        <w:t>7</w:t>
      </w:r>
      <w:r w:rsidR="00B45D4C" w:rsidRPr="00B45D4C">
        <w:rPr>
          <w:color w:val="000000" w:themeColor="text1"/>
          <w:szCs w:val="24"/>
        </w:rPr>
        <w:t>.</w:t>
      </w:r>
      <w:r w:rsidR="00B45D4C" w:rsidRPr="00B45D4C">
        <w:rPr>
          <w:color w:val="000000" w:themeColor="text1"/>
          <w:szCs w:val="24"/>
          <w:lang w:val="en-US"/>
        </w:rPr>
        <w:t>72</w:t>
      </w:r>
      <w:r w:rsidR="00B45D4C">
        <w:rPr>
          <w:color w:val="000000" w:themeColor="text1"/>
          <w:szCs w:val="24"/>
          <w:lang w:val="en-US"/>
        </w:rPr>
        <w:t xml:space="preserve"> </w:t>
      </w:r>
      <w:r w:rsidR="00B45D4C" w:rsidRPr="00B45D4C">
        <w:rPr>
          <w:color w:val="000000" w:themeColor="text1"/>
          <w:szCs w:val="24"/>
          <w:lang w:val="en-US"/>
        </w:rPr>
        <w:t xml:space="preserve">Bq/kg, which 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>are higher than that of the world average values</w:t>
      </w:r>
      <w:r w:rsidR="00B45D4C">
        <w:rPr>
          <w:rFonts w:eastAsiaTheme="minorEastAsia"/>
          <w:color w:val="000000" w:themeColor="text1"/>
          <w:szCs w:val="24"/>
          <w:lang w:val="en-US" w:bidi="lo-LA"/>
        </w:rPr>
        <w:t xml:space="preserve"> (35 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>B</w:t>
      </w:r>
      <w:r w:rsidR="00C90045">
        <w:rPr>
          <w:rFonts w:eastAsiaTheme="minorEastAsia"/>
          <w:color w:val="000000" w:themeColor="text1"/>
          <w:szCs w:val="24"/>
          <w:lang w:val="en-US" w:bidi="lo-LA"/>
        </w:rPr>
        <w:t>q/kg and 30 Bq/kg) respectively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 </w:t>
      </w:r>
      <w:r w:rsidR="00C90045">
        <w:rPr>
          <w:rFonts w:eastAsiaTheme="minorEastAsia"/>
          <w:color w:val="0D0D0D" w:themeColor="text1" w:themeTint="F2"/>
          <w:szCs w:val="24"/>
          <w:highlight w:val="yellow"/>
          <w:lang w:val="en-US" w:bidi="lo-LA"/>
        </w:rPr>
        <w:t xml:space="preserve">.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>But activity concentration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>s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 xml:space="preserve"> of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vertAlign w:val="superscript"/>
          <w:lang w:val="en-US" w:bidi="lo-LA"/>
        </w:rPr>
        <w:t>226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 xml:space="preserve">Ra and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vertAlign w:val="superscript"/>
          <w:lang w:val="en-US" w:bidi="lo-LA"/>
        </w:rPr>
        <w:t>232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 xml:space="preserve">Th are </w:t>
      </w:r>
      <w:r w:rsidR="00C90045">
        <w:rPr>
          <w:color w:val="404040" w:themeColor="text1" w:themeTint="BF"/>
          <w:szCs w:val="24"/>
          <w:highlight w:val="yellow"/>
          <w:lang w:val="en-US"/>
        </w:rPr>
        <w:t xml:space="preserve">less than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 xml:space="preserve">the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>value average of Ng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>h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 xml:space="preserve">e An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>p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>rovince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 xml:space="preserve"> [8], i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>t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 xml:space="preserve">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>shares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 xml:space="preserve">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 xml:space="preserve">borders with Bolikhamxay 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>p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bidi="lo-LA"/>
        </w:rPr>
        <w:t>rovince</w:t>
      </w:r>
      <w:r w:rsidR="00C90045">
        <w:rPr>
          <w:rFonts w:eastAsiaTheme="minorEastAsia"/>
          <w:color w:val="404040" w:themeColor="text1" w:themeTint="BF"/>
          <w:szCs w:val="24"/>
          <w:highlight w:val="yellow"/>
          <w:lang w:val="en-US" w:bidi="lo-LA"/>
        </w:rPr>
        <w:t>of Laos.</w:t>
      </w:r>
      <w:r w:rsidR="00C90045">
        <w:rPr>
          <w:rFonts w:eastAsiaTheme="minorEastAsia"/>
          <w:color w:val="404040" w:themeColor="text1" w:themeTint="BF"/>
          <w:szCs w:val="24"/>
          <w:lang w:val="en-US" w:bidi="lo-LA"/>
        </w:rPr>
        <w:t xml:space="preserve"> 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The  activity concentration of </w:t>
      </w:r>
      <w:r w:rsidR="00B45D4C" w:rsidRPr="00B45D4C">
        <w:rPr>
          <w:rFonts w:eastAsiaTheme="minorEastAsia"/>
          <w:color w:val="000000" w:themeColor="text1"/>
          <w:szCs w:val="24"/>
          <w:vertAlign w:val="superscript"/>
          <w:lang w:val="en-US" w:bidi="lo-LA"/>
        </w:rPr>
        <w:t>137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>Cs was not found in any of samples from Bolikhamxay province, this means that it is lower than</w:t>
      </w:r>
      <w:r w:rsidR="00B45D4C" w:rsidRPr="00411358">
        <w:rPr>
          <w:rFonts w:eastAsiaTheme="minorEastAsia"/>
          <w:color w:val="FF0000"/>
          <w:szCs w:val="24"/>
          <w:lang w:val="en-US" w:bidi="lo-LA"/>
        </w:rPr>
        <w:t xml:space="preserve"> </w:t>
      </w:r>
      <w:r w:rsidR="00411358" w:rsidRPr="00411358">
        <w:rPr>
          <w:rFonts w:eastAsiaTheme="minorEastAsia"/>
          <w:color w:val="FF0000"/>
          <w:szCs w:val="24"/>
          <w:lang w:val="en-US" w:bidi="lo-LA"/>
        </w:rPr>
        <w:t>the</w:t>
      </w:r>
      <w:r w:rsidR="00411358">
        <w:rPr>
          <w:rFonts w:eastAsiaTheme="minorEastAsia"/>
          <w:color w:val="000000" w:themeColor="text1"/>
          <w:szCs w:val="24"/>
          <w:lang w:val="en-US" w:bidi="lo-LA"/>
        </w:rPr>
        <w:t xml:space="preserve"> </w:t>
      </w:r>
      <w:r w:rsidR="00B45D4C" w:rsidRPr="00B45D4C">
        <w:rPr>
          <w:rFonts w:eastAsiaTheme="minorEastAsia"/>
          <w:color w:val="000000" w:themeColor="text1"/>
          <w:szCs w:val="24"/>
          <w:lang w:val="en-US" w:bidi="lo-LA"/>
        </w:rPr>
        <w:t xml:space="preserve">minimum detection limit. </w:t>
      </w:r>
      <w:r w:rsidR="00B45D4C" w:rsidRPr="00B45D4C">
        <w:rPr>
          <w:color w:val="000000" w:themeColor="text1"/>
          <w:szCs w:val="24"/>
          <w:lang w:val="en-US"/>
        </w:rPr>
        <w:t xml:space="preserve">The mean radium equivalent activity concentration, the mean external and internal hazard indices in the study areas were less than the world average [1]. </w:t>
      </w:r>
    </w:p>
    <w:p w:rsidR="00E92B52" w:rsidRPr="00B45D4C" w:rsidRDefault="00695002" w:rsidP="00824CD7">
      <w:pPr>
        <w:rPr>
          <w:b/>
          <w:bCs/>
          <w:color w:val="000000" w:themeColor="text1"/>
          <w:szCs w:val="24"/>
          <w:lang w:val="en-US"/>
        </w:rPr>
      </w:pPr>
      <w:r w:rsidRPr="00B45D4C">
        <w:rPr>
          <w:b/>
          <w:bCs/>
          <w:color w:val="000000" w:themeColor="text1"/>
          <w:szCs w:val="24"/>
          <w:lang w:val="en-US"/>
        </w:rPr>
        <w:t>References</w:t>
      </w:r>
    </w:p>
    <w:p w:rsidR="00120AFE" w:rsidRPr="00B45D4C" w:rsidRDefault="00120AFE" w:rsidP="005B2206">
      <w:pPr>
        <w:pStyle w:val="Heading3"/>
        <w:shd w:val="clear" w:color="auto" w:fill="FFFFFF"/>
        <w:spacing w:before="80" w:beforeAutospacing="0" w:after="0" w:afterAutospacing="0"/>
        <w:ind w:left="426" w:hanging="426"/>
        <w:jc w:val="thaiDistribute"/>
        <w:rPr>
          <w:b w:val="0"/>
          <w:bCs w:val="0"/>
          <w:color w:val="000000" w:themeColor="text1"/>
          <w:sz w:val="22"/>
          <w:szCs w:val="22"/>
          <w:lang w:val="en-US"/>
        </w:rPr>
      </w:pPr>
      <w:r w:rsidRPr="00B45D4C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en-US"/>
        </w:rPr>
        <w:t xml:space="preserve">[1] </w:t>
      </w:r>
      <w:r w:rsidR="005B2206" w:rsidRPr="00B45D4C">
        <w:rPr>
          <w:b w:val="0"/>
          <w:bCs w:val="0"/>
          <w:color w:val="000000" w:themeColor="text1"/>
          <w:sz w:val="22"/>
          <w:szCs w:val="22"/>
          <w:lang w:val="en-US"/>
        </w:rPr>
        <w:tab/>
      </w:r>
      <w:r w:rsidRPr="00B45D4C">
        <w:rPr>
          <w:b w:val="0"/>
          <w:bCs w:val="0"/>
          <w:color w:val="000000" w:themeColor="text1"/>
          <w:sz w:val="22"/>
          <w:szCs w:val="22"/>
          <w:lang w:val="en-US"/>
        </w:rPr>
        <w:t>UNSCEAR United National Scientiﬁc Committee on the Effectsof Atomic Radiation Sources and Risks of Ionizing Radiation,Report to the General Assembly with Annexes, United Nations,New York, 2000.</w:t>
      </w:r>
    </w:p>
    <w:p w:rsidR="006A42D7" w:rsidRPr="00B45D4C" w:rsidRDefault="006A42D7" w:rsidP="005B2206">
      <w:pPr>
        <w:spacing w:before="80" w:after="0" w:line="240" w:lineRule="auto"/>
        <w:ind w:left="426" w:hanging="426"/>
        <w:jc w:val="both"/>
        <w:rPr>
          <w:rFonts w:cs="Times New Roman"/>
          <w:color w:val="000000" w:themeColor="text1"/>
          <w:sz w:val="22"/>
          <w:lang w:val="en-US"/>
        </w:rPr>
      </w:pPr>
      <w:r w:rsidRPr="00B45D4C">
        <w:rPr>
          <w:rFonts w:cs="Times New Roman"/>
          <w:color w:val="000000" w:themeColor="text1"/>
          <w:sz w:val="22"/>
          <w:lang w:val="en-US"/>
        </w:rPr>
        <w:t>[2]</w:t>
      </w:r>
      <w:r w:rsidR="005B2206" w:rsidRPr="00B45D4C">
        <w:rPr>
          <w:rFonts w:cs="Times New Roman"/>
          <w:color w:val="000000" w:themeColor="text1"/>
          <w:sz w:val="22"/>
          <w:lang w:val="en-US"/>
        </w:rPr>
        <w:tab/>
      </w:r>
      <w:r w:rsidRPr="00B45D4C">
        <w:rPr>
          <w:rFonts w:cs="Times New Roman"/>
          <w:color w:val="000000" w:themeColor="text1"/>
          <w:sz w:val="22"/>
          <w:lang w:val="en-US"/>
        </w:rPr>
        <w:t>KarahanG,Bayulken A. Assessment of gamma dose rates around Istanbul (Turkey). J Environ Radioact 2000;47:213-21</w:t>
      </w:r>
    </w:p>
    <w:p w:rsidR="00695002" w:rsidRPr="00B45D4C" w:rsidRDefault="00371C92" w:rsidP="005B2206">
      <w:pPr>
        <w:spacing w:before="80" w:after="0" w:line="240" w:lineRule="auto"/>
        <w:ind w:left="426" w:hanging="426"/>
        <w:jc w:val="both"/>
        <w:rPr>
          <w:rFonts w:cs="Times New Roman"/>
          <w:color w:val="000000" w:themeColor="text1"/>
          <w:sz w:val="22"/>
          <w:lang w:val="en-US"/>
        </w:rPr>
      </w:pPr>
      <w:r w:rsidRPr="00B45D4C">
        <w:rPr>
          <w:rFonts w:cs="Times New Roman"/>
          <w:color w:val="000000" w:themeColor="text1"/>
          <w:sz w:val="22"/>
          <w:lang w:val="en-US"/>
        </w:rPr>
        <w:t>[</w:t>
      </w:r>
      <w:r w:rsidR="006A42D7" w:rsidRPr="00B45D4C">
        <w:rPr>
          <w:rFonts w:cs="Times New Roman"/>
          <w:color w:val="000000" w:themeColor="text1"/>
          <w:sz w:val="22"/>
          <w:lang w:val="en-US"/>
        </w:rPr>
        <w:t>3</w:t>
      </w:r>
      <w:r w:rsidRPr="00B45D4C">
        <w:rPr>
          <w:rFonts w:cs="Times New Roman"/>
          <w:color w:val="000000" w:themeColor="text1"/>
          <w:sz w:val="22"/>
          <w:lang w:val="en-US"/>
        </w:rPr>
        <w:t>]</w:t>
      </w:r>
      <w:r w:rsidR="005B2206" w:rsidRPr="00B45D4C">
        <w:rPr>
          <w:rFonts w:cs="Times New Roman"/>
          <w:color w:val="000000" w:themeColor="text1"/>
          <w:sz w:val="22"/>
          <w:lang w:val="en-US"/>
        </w:rPr>
        <w:tab/>
      </w:r>
      <w:r w:rsidR="000945DD" w:rsidRPr="00B45D4C">
        <w:rPr>
          <w:rFonts w:cs="Times New Roman"/>
          <w:color w:val="000000" w:themeColor="text1"/>
          <w:sz w:val="22"/>
          <w:lang w:val="en-US"/>
        </w:rPr>
        <w:t>Erees FS, Aközcan S, Parlak Y, Çam S. Assessment of dose rates around Manisa  (Turkey). Radiat Measure 2006;41:598</w:t>
      </w:r>
      <w:r w:rsidR="000945DD" w:rsidRPr="00B45D4C">
        <w:rPr>
          <w:rFonts w:eastAsia="MS Mincho" w:hAnsi="MS Mincho" w:cs="Times New Roman"/>
          <w:color w:val="000000" w:themeColor="text1"/>
          <w:sz w:val="22"/>
          <w:lang w:val="en-US"/>
        </w:rPr>
        <w:t>‑</w:t>
      </w:r>
      <w:r w:rsidR="000945DD" w:rsidRPr="00B45D4C">
        <w:rPr>
          <w:rFonts w:cs="Times New Roman"/>
          <w:color w:val="000000" w:themeColor="text1"/>
          <w:sz w:val="22"/>
          <w:lang w:val="en-US"/>
        </w:rPr>
        <w:t>601.</w:t>
      </w:r>
    </w:p>
    <w:p w:rsidR="002019E5" w:rsidRPr="00B45D4C" w:rsidRDefault="002019E5" w:rsidP="005B2206">
      <w:pPr>
        <w:spacing w:before="80" w:after="0" w:line="240" w:lineRule="auto"/>
        <w:ind w:left="426" w:hanging="426"/>
        <w:jc w:val="thaiDistribute"/>
        <w:rPr>
          <w:rFonts w:eastAsiaTheme="minorEastAsia" w:cs="Times New Roman"/>
          <w:color w:val="000000" w:themeColor="text1"/>
          <w:sz w:val="22"/>
          <w:lang w:val="en-US" w:bidi="lo-LA"/>
        </w:rPr>
      </w:pP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>[</w:t>
      </w:r>
      <w:r w:rsidR="006A42D7"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>4</w:t>
      </w: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 xml:space="preserve">] </w:t>
      </w:r>
      <w:r w:rsidR="005B2206"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ab/>
      </w: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>Dabayneh K, Mashal L, Hasan F. Radioactivity concentration in soil samples in the southern part of the WestBank, Palestine. RadiatProt Dos 2008; 131: 265-271</w:t>
      </w:r>
    </w:p>
    <w:p w:rsidR="002019E5" w:rsidRPr="00B45D4C" w:rsidRDefault="002019E5" w:rsidP="005B2206">
      <w:pPr>
        <w:spacing w:before="80" w:after="0" w:line="240" w:lineRule="auto"/>
        <w:ind w:left="426" w:hanging="426"/>
        <w:jc w:val="thaiDistribute"/>
        <w:rPr>
          <w:rFonts w:eastAsiaTheme="minorEastAsia" w:cs="Times New Roman"/>
          <w:color w:val="000000" w:themeColor="text1"/>
          <w:sz w:val="22"/>
          <w:lang w:val="en-US" w:bidi="lo-LA"/>
        </w:rPr>
      </w:pP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>[</w:t>
      </w:r>
      <w:r w:rsidR="006A42D7"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>5</w:t>
      </w: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 xml:space="preserve">] </w:t>
      </w:r>
      <w:r w:rsidR="005B2206"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ab/>
      </w: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 xml:space="preserve">Abdel-Ghany H. Natural activities of </w:t>
      </w:r>
      <w:r w:rsidRPr="00B45D4C">
        <w:rPr>
          <w:rFonts w:eastAsiaTheme="minorEastAsia" w:cs="Times New Roman"/>
          <w:color w:val="000000" w:themeColor="text1"/>
          <w:sz w:val="22"/>
          <w:vertAlign w:val="superscript"/>
          <w:lang w:val="en-US" w:bidi="lo-LA"/>
        </w:rPr>
        <w:t>238</w:t>
      </w: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>U,</w:t>
      </w:r>
      <w:r w:rsidRPr="00B45D4C">
        <w:rPr>
          <w:rFonts w:eastAsiaTheme="minorEastAsia" w:cs="Times New Roman"/>
          <w:color w:val="000000" w:themeColor="text1"/>
          <w:sz w:val="22"/>
          <w:vertAlign w:val="superscript"/>
          <w:lang w:val="en-US" w:bidi="lo-LA"/>
        </w:rPr>
        <w:t>232</w:t>
      </w: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 xml:space="preserve">Th and </w:t>
      </w:r>
      <w:r w:rsidRPr="00B45D4C">
        <w:rPr>
          <w:rFonts w:eastAsiaTheme="minorEastAsia" w:cs="Times New Roman"/>
          <w:color w:val="000000" w:themeColor="text1"/>
          <w:sz w:val="22"/>
          <w:vertAlign w:val="superscript"/>
          <w:lang w:val="en-US" w:bidi="lo-LA"/>
        </w:rPr>
        <w:t>40</w:t>
      </w:r>
      <w:r w:rsidRPr="00B45D4C">
        <w:rPr>
          <w:rFonts w:eastAsiaTheme="minorEastAsia" w:cs="Times New Roman"/>
          <w:color w:val="000000" w:themeColor="text1"/>
          <w:sz w:val="22"/>
          <w:lang w:val="en-US" w:bidi="lo-LA"/>
        </w:rPr>
        <w:t>K in manganese ore. Am EnvSci 2010; 6: 90-94</w:t>
      </w:r>
    </w:p>
    <w:p w:rsidR="002019E5" w:rsidRPr="00B45D4C" w:rsidRDefault="002019E5" w:rsidP="005B2206">
      <w:pPr>
        <w:pStyle w:val="Heading3"/>
        <w:shd w:val="clear" w:color="auto" w:fill="FFFFFF"/>
        <w:spacing w:before="80" w:beforeAutospacing="0" w:after="0" w:afterAutospacing="0"/>
        <w:ind w:left="426" w:hanging="426"/>
        <w:jc w:val="thaiDistribute"/>
        <w:rPr>
          <w:b w:val="0"/>
          <w:bCs w:val="0"/>
          <w:color w:val="000000" w:themeColor="text1"/>
          <w:sz w:val="22"/>
          <w:szCs w:val="22"/>
          <w:lang w:val="en-US"/>
        </w:rPr>
      </w:pPr>
      <w:r w:rsidRPr="00B45D4C">
        <w:rPr>
          <w:rFonts w:eastAsiaTheme="minorEastAsia"/>
          <w:b w:val="0"/>
          <w:bCs w:val="0"/>
          <w:color w:val="000000" w:themeColor="text1"/>
          <w:sz w:val="22"/>
          <w:szCs w:val="22"/>
          <w:lang w:val="en-US"/>
        </w:rPr>
        <w:t>[</w:t>
      </w:r>
      <w:r w:rsidR="006A42D7" w:rsidRPr="00B45D4C">
        <w:rPr>
          <w:rFonts w:eastAsiaTheme="minorEastAsia"/>
          <w:b w:val="0"/>
          <w:bCs w:val="0"/>
          <w:color w:val="000000" w:themeColor="text1"/>
          <w:sz w:val="22"/>
          <w:szCs w:val="22"/>
          <w:lang w:val="en-US"/>
        </w:rPr>
        <w:t>6</w:t>
      </w:r>
      <w:r w:rsidRPr="00B45D4C">
        <w:rPr>
          <w:rFonts w:eastAsiaTheme="minorEastAsia"/>
          <w:b w:val="0"/>
          <w:bCs w:val="0"/>
          <w:color w:val="000000" w:themeColor="text1"/>
          <w:sz w:val="22"/>
          <w:szCs w:val="22"/>
          <w:lang w:val="en-US"/>
        </w:rPr>
        <w:t xml:space="preserve">] </w:t>
      </w:r>
      <w:hyperlink r:id="rId12" w:history="1">
        <w:r w:rsidRPr="00B45D4C">
          <w:rPr>
            <w:b w:val="0"/>
            <w:bCs w:val="0"/>
            <w:color w:val="000000" w:themeColor="text1"/>
            <w:sz w:val="22"/>
            <w:szCs w:val="22"/>
          </w:rPr>
          <w:t>Yu, K.N., Guan, Z.J., Stokes, M.J. and Young, E.C.M.</w:t>
        </w:r>
      </w:hyperlink>
      <w:r w:rsidRPr="00B45D4C">
        <w:rPr>
          <w:b w:val="0"/>
          <w:bCs w:val="0"/>
          <w:color w:val="000000" w:themeColor="text1"/>
          <w:sz w:val="22"/>
          <w:szCs w:val="22"/>
          <w:lang w:val="en-US"/>
        </w:rPr>
        <w:t>,The assessment of natural radiation dose committed to the Hong Kong people.Journal of Environmental Radioactivity 17,31.(1992)</w:t>
      </w:r>
    </w:p>
    <w:p w:rsidR="002019E5" w:rsidRDefault="002019E5" w:rsidP="005B2206">
      <w:pPr>
        <w:pStyle w:val="Heading3"/>
        <w:shd w:val="clear" w:color="auto" w:fill="FFFFFF"/>
        <w:spacing w:before="80" w:beforeAutospacing="0" w:after="0" w:afterAutospacing="0"/>
        <w:ind w:left="426" w:hanging="426"/>
        <w:jc w:val="thaiDistribute"/>
        <w:rPr>
          <w:b w:val="0"/>
          <w:bCs w:val="0"/>
          <w:color w:val="000000" w:themeColor="text1"/>
          <w:sz w:val="22"/>
          <w:szCs w:val="22"/>
          <w:lang w:val="en-US"/>
        </w:rPr>
      </w:pPr>
      <w:r w:rsidRPr="00B45D4C">
        <w:rPr>
          <w:b w:val="0"/>
          <w:bCs w:val="0"/>
          <w:color w:val="000000" w:themeColor="text1"/>
          <w:sz w:val="22"/>
          <w:szCs w:val="22"/>
          <w:lang w:val="en-US"/>
        </w:rPr>
        <w:t>[</w:t>
      </w:r>
      <w:r w:rsidR="006128D5" w:rsidRPr="00B45D4C">
        <w:rPr>
          <w:b w:val="0"/>
          <w:bCs w:val="0"/>
          <w:color w:val="000000" w:themeColor="text1"/>
          <w:sz w:val="22"/>
          <w:szCs w:val="22"/>
          <w:lang w:val="en-US"/>
        </w:rPr>
        <w:t>7</w:t>
      </w:r>
      <w:r w:rsidRPr="00B45D4C">
        <w:rPr>
          <w:b w:val="0"/>
          <w:bCs w:val="0"/>
          <w:color w:val="000000" w:themeColor="text1"/>
          <w:sz w:val="22"/>
          <w:szCs w:val="22"/>
          <w:lang w:val="en-US"/>
        </w:rPr>
        <w:t xml:space="preserve">] </w:t>
      </w:r>
      <w:r w:rsidR="005B2206" w:rsidRPr="00B45D4C">
        <w:rPr>
          <w:b w:val="0"/>
          <w:bCs w:val="0"/>
          <w:color w:val="000000" w:themeColor="text1"/>
          <w:sz w:val="22"/>
          <w:szCs w:val="22"/>
          <w:lang w:val="en-US"/>
        </w:rPr>
        <w:tab/>
      </w:r>
      <w:r w:rsidR="006128D5" w:rsidRPr="00B45D4C">
        <w:rPr>
          <w:b w:val="0"/>
          <w:bCs w:val="0"/>
          <w:color w:val="000000" w:themeColor="text1"/>
          <w:sz w:val="22"/>
          <w:szCs w:val="22"/>
          <w:lang w:val="en-US"/>
        </w:rPr>
        <w:t>Beretka, J. and J. Matthew, 1985. Natural radioactivityof Australian building materials, industrial wastesand by products. Health Physics Journal, 48: 87-95.</w:t>
      </w:r>
    </w:p>
    <w:p w:rsidR="00C90045" w:rsidRDefault="00C90045" w:rsidP="00C90045">
      <w:pPr>
        <w:spacing w:before="80" w:after="0" w:line="240" w:lineRule="auto"/>
        <w:ind w:left="426" w:hanging="426"/>
        <w:jc w:val="thaiDistribute"/>
        <w:rPr>
          <w:rFonts w:cs="Times New Roman"/>
          <w:color w:val="404040" w:themeColor="text1" w:themeTint="BF"/>
          <w:sz w:val="22"/>
          <w:lang w:val="en-US"/>
        </w:rPr>
      </w:pPr>
      <w:r>
        <w:rPr>
          <w:rFonts w:cs="Times New Roman"/>
          <w:bCs/>
          <w:color w:val="404040" w:themeColor="text1" w:themeTint="BF"/>
          <w:sz w:val="22"/>
          <w:highlight w:val="yellow"/>
          <w:lang w:val="en-US"/>
        </w:rPr>
        <w:t>[8]</w:t>
      </w:r>
      <w:r>
        <w:rPr>
          <w:rFonts w:cs="Times New Roman"/>
          <w:bCs/>
          <w:color w:val="404040" w:themeColor="text1" w:themeTint="BF"/>
          <w:sz w:val="22"/>
          <w:highlight w:val="yellow"/>
          <w:lang w:val="en-US"/>
        </w:rPr>
        <w:tab/>
      </w:r>
      <w:r>
        <w:rPr>
          <w:rFonts w:cs="Times New Roman"/>
          <w:color w:val="404040" w:themeColor="text1" w:themeTint="BF"/>
          <w:sz w:val="22"/>
          <w:highlight w:val="yellow"/>
          <w:lang w:val="en-US"/>
        </w:rPr>
        <w:t>N.Q.Huy et al.</w:t>
      </w:r>
      <w:r>
        <w:rPr>
          <w:rFonts w:cs="Times New Roman"/>
          <w:bCs/>
          <w:color w:val="404040" w:themeColor="text1" w:themeTint="BF"/>
          <w:sz w:val="22"/>
          <w:highlight w:val="yellow"/>
          <w:lang w:val="en-US"/>
        </w:rPr>
        <w:t>,</w:t>
      </w:r>
      <w:r>
        <w:rPr>
          <w:rFonts w:cs="Times New Roman"/>
          <w:color w:val="404040" w:themeColor="text1" w:themeTint="BF"/>
          <w:sz w:val="22"/>
          <w:highlight w:val="yellow"/>
          <w:lang w:val="en-US"/>
        </w:rPr>
        <w:t>Natural radioactivity and external does assessment of surcface soils in Vietnam.Radiation Protection Dosimetry (2012), Vol. 151, No. 3, pp. 522–531</w:t>
      </w:r>
      <w:r>
        <w:rPr>
          <w:rFonts w:cs="Times New Roman"/>
          <w:color w:val="404040" w:themeColor="text1" w:themeTint="BF"/>
          <w:sz w:val="22"/>
          <w:lang w:val="en-US"/>
        </w:rPr>
        <w:t>.</w:t>
      </w:r>
    </w:p>
    <w:p w:rsidR="00C90045" w:rsidRPr="00B45D4C" w:rsidRDefault="00C90045" w:rsidP="005B2206">
      <w:pPr>
        <w:pStyle w:val="Heading3"/>
        <w:shd w:val="clear" w:color="auto" w:fill="FFFFFF"/>
        <w:spacing w:before="80" w:beforeAutospacing="0" w:after="0" w:afterAutospacing="0"/>
        <w:ind w:left="426" w:hanging="426"/>
        <w:jc w:val="thaiDistribute"/>
        <w:rPr>
          <w:b w:val="0"/>
          <w:bCs w:val="0"/>
          <w:color w:val="000000" w:themeColor="text1"/>
          <w:sz w:val="22"/>
          <w:szCs w:val="22"/>
          <w:lang w:val="en-US"/>
        </w:rPr>
      </w:pPr>
    </w:p>
    <w:p w:rsidR="005B2206" w:rsidRPr="00B45D4C" w:rsidRDefault="005B2206" w:rsidP="005B2206">
      <w:pPr>
        <w:spacing w:before="80" w:after="0" w:line="240" w:lineRule="auto"/>
        <w:jc w:val="thaiDistribute"/>
        <w:rPr>
          <w:rFonts w:cs="Times New Roman"/>
          <w:color w:val="000000" w:themeColor="text1"/>
          <w:sz w:val="22"/>
          <w:lang w:val="en-US"/>
        </w:rPr>
      </w:pPr>
    </w:p>
    <w:p w:rsidR="00C90045" w:rsidRDefault="00C90045" w:rsidP="00804E39">
      <w:pPr>
        <w:jc w:val="center"/>
        <w:rPr>
          <w:b/>
          <w:bCs/>
          <w:color w:val="262626" w:themeColor="text1" w:themeTint="D9"/>
          <w:sz w:val="28"/>
          <w:szCs w:val="28"/>
          <w:lang w:val="en-US"/>
        </w:rPr>
      </w:pPr>
    </w:p>
    <w:p w:rsidR="00C90045" w:rsidRDefault="00C90045" w:rsidP="00804E39">
      <w:pPr>
        <w:jc w:val="center"/>
        <w:rPr>
          <w:b/>
          <w:bCs/>
          <w:color w:val="262626" w:themeColor="text1" w:themeTint="D9"/>
          <w:sz w:val="28"/>
          <w:szCs w:val="28"/>
          <w:lang w:val="en-US"/>
        </w:rPr>
      </w:pPr>
    </w:p>
    <w:p w:rsidR="00C90045" w:rsidRDefault="00C90045" w:rsidP="00804E39">
      <w:pPr>
        <w:jc w:val="center"/>
        <w:rPr>
          <w:b/>
          <w:bCs/>
          <w:color w:val="262626" w:themeColor="text1" w:themeTint="D9"/>
          <w:sz w:val="28"/>
          <w:szCs w:val="28"/>
          <w:lang w:val="en-US"/>
        </w:rPr>
      </w:pPr>
    </w:p>
    <w:p w:rsidR="00C90045" w:rsidRDefault="00C90045" w:rsidP="00804E39">
      <w:pPr>
        <w:jc w:val="center"/>
        <w:rPr>
          <w:b/>
          <w:bCs/>
          <w:color w:val="262626" w:themeColor="text1" w:themeTint="D9"/>
          <w:sz w:val="28"/>
          <w:szCs w:val="28"/>
          <w:lang w:val="en-US"/>
        </w:rPr>
      </w:pPr>
    </w:p>
    <w:p w:rsidR="005B2206" w:rsidRPr="00B45D4C" w:rsidRDefault="005B2206" w:rsidP="005B2206">
      <w:pPr>
        <w:spacing w:before="80" w:after="0" w:line="240" w:lineRule="auto"/>
        <w:jc w:val="thaiDistribute"/>
        <w:rPr>
          <w:color w:val="000000" w:themeColor="text1"/>
          <w:szCs w:val="24"/>
          <w:lang w:val="en-US"/>
        </w:rPr>
      </w:pPr>
    </w:p>
    <w:sectPr w:rsidR="005B2206" w:rsidRPr="00B45D4C" w:rsidSect="00741ADD">
      <w:footerReference w:type="default" r:id="rId13"/>
      <w:pgSz w:w="11906" w:h="16838" w:code="9"/>
      <w:pgMar w:top="1134" w:right="1134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85" w:rsidRDefault="009F7585" w:rsidP="009D4E04">
      <w:pPr>
        <w:spacing w:after="0" w:line="240" w:lineRule="auto"/>
      </w:pPr>
      <w:r>
        <w:separator/>
      </w:r>
    </w:p>
  </w:endnote>
  <w:endnote w:type="continuationSeparator" w:id="1">
    <w:p w:rsidR="009F7585" w:rsidRDefault="009F7585" w:rsidP="009D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9264"/>
      <w:docPartObj>
        <w:docPartGallery w:val="Page Numbers (Bottom of Page)"/>
        <w:docPartUnique/>
      </w:docPartObj>
    </w:sdtPr>
    <w:sdtContent>
      <w:p w:rsidR="00565F96" w:rsidRDefault="00AD1411">
        <w:pPr>
          <w:pStyle w:val="Footer"/>
          <w:jc w:val="right"/>
        </w:pPr>
        <w:fldSimple w:instr=" PAGE   \* MERGEFORMAT ">
          <w:r w:rsidR="00D1109A">
            <w:rPr>
              <w:noProof/>
            </w:rPr>
            <w:t>1</w:t>
          </w:r>
        </w:fldSimple>
      </w:p>
    </w:sdtContent>
  </w:sdt>
  <w:p w:rsidR="00565F96" w:rsidRDefault="00565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85" w:rsidRDefault="009F7585" w:rsidP="009D4E04">
      <w:pPr>
        <w:spacing w:after="0" w:line="240" w:lineRule="auto"/>
      </w:pPr>
      <w:r>
        <w:separator/>
      </w:r>
    </w:p>
  </w:footnote>
  <w:footnote w:type="continuationSeparator" w:id="1">
    <w:p w:rsidR="009F7585" w:rsidRDefault="009F7585" w:rsidP="009D4E04">
      <w:pPr>
        <w:spacing w:after="0" w:line="240" w:lineRule="auto"/>
      </w:pPr>
      <w:r>
        <w:continuationSeparator/>
      </w:r>
    </w:p>
  </w:footnote>
  <w:footnote w:id="2">
    <w:p w:rsidR="00565F96" w:rsidRPr="00FA5BCC" w:rsidRDefault="00565F96" w:rsidP="009D4E04">
      <w:pPr>
        <w:pStyle w:val="ListParagraph"/>
        <w:ind w:left="0" w:firstLine="426"/>
        <w:jc w:val="thaiDistribute"/>
        <w:rPr>
          <w:rFonts w:cs="Times New Roman"/>
          <w:color w:val="000000"/>
          <w:sz w:val="20"/>
          <w:szCs w:val="20"/>
          <w:shd w:val="clear" w:color="auto" w:fill="FFFFFF"/>
          <w:lang w:val="en-US"/>
        </w:rPr>
      </w:pPr>
      <w:r w:rsidRPr="009D4E04">
        <w:rPr>
          <w:rStyle w:val="FootnoteReference"/>
        </w:rPr>
        <w:sym w:font="Symbol" w:char="F02A"/>
      </w:r>
      <w:r w:rsidRPr="005A4AAD">
        <w:rPr>
          <w:color w:val="404040" w:themeColor="text1" w:themeTint="BF"/>
          <w:sz w:val="20"/>
          <w:szCs w:val="20"/>
          <w:lang w:val="en-US"/>
        </w:rPr>
        <w:t>Corresponding author</w:t>
      </w:r>
      <w:r w:rsidRPr="00FA5BCC">
        <w:rPr>
          <w:sz w:val="20"/>
          <w:szCs w:val="20"/>
          <w:lang w:val="en-US"/>
        </w:rPr>
        <w:t>. Tel.:84-912865869.   Email:s.leuangtakoun@nuol.edu.la</w:t>
      </w:r>
    </w:p>
    <w:p w:rsidR="00565F96" w:rsidRPr="009D4E04" w:rsidRDefault="00565F9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672"/>
    <w:multiLevelType w:val="multilevel"/>
    <w:tmpl w:val="D8941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58D5407"/>
    <w:multiLevelType w:val="multilevel"/>
    <w:tmpl w:val="2BC23A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2">
    <w:nsid w:val="75D842D8"/>
    <w:multiLevelType w:val="hybridMultilevel"/>
    <w:tmpl w:val="CEA41448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3570"/>
    <w:rsid w:val="00001CB8"/>
    <w:rsid w:val="00003965"/>
    <w:rsid w:val="00003A06"/>
    <w:rsid w:val="00004942"/>
    <w:rsid w:val="00005BF9"/>
    <w:rsid w:val="00010315"/>
    <w:rsid w:val="000110E0"/>
    <w:rsid w:val="00035193"/>
    <w:rsid w:val="0003731C"/>
    <w:rsid w:val="0004162F"/>
    <w:rsid w:val="000550BF"/>
    <w:rsid w:val="00061FA7"/>
    <w:rsid w:val="00067312"/>
    <w:rsid w:val="00067944"/>
    <w:rsid w:val="00067F27"/>
    <w:rsid w:val="00073CFD"/>
    <w:rsid w:val="00075F7D"/>
    <w:rsid w:val="00080FDB"/>
    <w:rsid w:val="000945DD"/>
    <w:rsid w:val="00096EF9"/>
    <w:rsid w:val="000B252F"/>
    <w:rsid w:val="000B2B6C"/>
    <w:rsid w:val="000B4D97"/>
    <w:rsid w:val="000B5941"/>
    <w:rsid w:val="000C00B2"/>
    <w:rsid w:val="000C4C80"/>
    <w:rsid w:val="000C6267"/>
    <w:rsid w:val="000D58F8"/>
    <w:rsid w:val="000E3BAB"/>
    <w:rsid w:val="000E7232"/>
    <w:rsid w:val="000E7F00"/>
    <w:rsid w:val="00101489"/>
    <w:rsid w:val="00120AFE"/>
    <w:rsid w:val="00125D77"/>
    <w:rsid w:val="00143977"/>
    <w:rsid w:val="0014461A"/>
    <w:rsid w:val="00147D8C"/>
    <w:rsid w:val="00151FDD"/>
    <w:rsid w:val="00152C1F"/>
    <w:rsid w:val="00163FBB"/>
    <w:rsid w:val="00164579"/>
    <w:rsid w:val="001662ED"/>
    <w:rsid w:val="00181F44"/>
    <w:rsid w:val="00186849"/>
    <w:rsid w:val="00193497"/>
    <w:rsid w:val="00193B10"/>
    <w:rsid w:val="001A23EC"/>
    <w:rsid w:val="001A3AE4"/>
    <w:rsid w:val="001A704E"/>
    <w:rsid w:val="001C025F"/>
    <w:rsid w:val="001C3674"/>
    <w:rsid w:val="001E1DE7"/>
    <w:rsid w:val="001E600B"/>
    <w:rsid w:val="001E6508"/>
    <w:rsid w:val="001F073C"/>
    <w:rsid w:val="001F656F"/>
    <w:rsid w:val="002019E5"/>
    <w:rsid w:val="002111C2"/>
    <w:rsid w:val="00211A70"/>
    <w:rsid w:val="002171C7"/>
    <w:rsid w:val="00217513"/>
    <w:rsid w:val="002268D7"/>
    <w:rsid w:val="00230123"/>
    <w:rsid w:val="00231222"/>
    <w:rsid w:val="00234881"/>
    <w:rsid w:val="00235266"/>
    <w:rsid w:val="00241C59"/>
    <w:rsid w:val="00255CEB"/>
    <w:rsid w:val="00261D6D"/>
    <w:rsid w:val="0028140C"/>
    <w:rsid w:val="002856F2"/>
    <w:rsid w:val="00295B1D"/>
    <w:rsid w:val="00295DE4"/>
    <w:rsid w:val="00296809"/>
    <w:rsid w:val="00296CCE"/>
    <w:rsid w:val="002A5F80"/>
    <w:rsid w:val="002B5D66"/>
    <w:rsid w:val="002C0799"/>
    <w:rsid w:val="002C2C1B"/>
    <w:rsid w:val="002C3D92"/>
    <w:rsid w:val="002C6512"/>
    <w:rsid w:val="002D01A6"/>
    <w:rsid w:val="002D4531"/>
    <w:rsid w:val="002E0273"/>
    <w:rsid w:val="002E7DF8"/>
    <w:rsid w:val="002F0F57"/>
    <w:rsid w:val="002F5194"/>
    <w:rsid w:val="002F704E"/>
    <w:rsid w:val="002F7572"/>
    <w:rsid w:val="00303133"/>
    <w:rsid w:val="00307F0C"/>
    <w:rsid w:val="00310A94"/>
    <w:rsid w:val="003201F5"/>
    <w:rsid w:val="0032113F"/>
    <w:rsid w:val="00321CF6"/>
    <w:rsid w:val="00323987"/>
    <w:rsid w:val="00327552"/>
    <w:rsid w:val="00327D70"/>
    <w:rsid w:val="003358B0"/>
    <w:rsid w:val="00337929"/>
    <w:rsid w:val="00341640"/>
    <w:rsid w:val="00355D99"/>
    <w:rsid w:val="0036003A"/>
    <w:rsid w:val="0036491B"/>
    <w:rsid w:val="003657AB"/>
    <w:rsid w:val="00371BE8"/>
    <w:rsid w:val="00371C92"/>
    <w:rsid w:val="003823E7"/>
    <w:rsid w:val="00386417"/>
    <w:rsid w:val="00386826"/>
    <w:rsid w:val="003908B4"/>
    <w:rsid w:val="0039679D"/>
    <w:rsid w:val="00396CAD"/>
    <w:rsid w:val="00397D08"/>
    <w:rsid w:val="003A0146"/>
    <w:rsid w:val="003A0180"/>
    <w:rsid w:val="003A6AF1"/>
    <w:rsid w:val="003A70FD"/>
    <w:rsid w:val="003B17DF"/>
    <w:rsid w:val="003B1AFF"/>
    <w:rsid w:val="003B4461"/>
    <w:rsid w:val="003B69CD"/>
    <w:rsid w:val="003C0101"/>
    <w:rsid w:val="003C36A3"/>
    <w:rsid w:val="003C563D"/>
    <w:rsid w:val="003C637D"/>
    <w:rsid w:val="003C7759"/>
    <w:rsid w:val="003D0F1B"/>
    <w:rsid w:val="003D3B3B"/>
    <w:rsid w:val="003E27BD"/>
    <w:rsid w:val="003E4009"/>
    <w:rsid w:val="003E49E4"/>
    <w:rsid w:val="003F35B0"/>
    <w:rsid w:val="003F611D"/>
    <w:rsid w:val="00400F30"/>
    <w:rsid w:val="00402FED"/>
    <w:rsid w:val="00404EF6"/>
    <w:rsid w:val="00411358"/>
    <w:rsid w:val="00417471"/>
    <w:rsid w:val="00417661"/>
    <w:rsid w:val="0042110B"/>
    <w:rsid w:val="00422F41"/>
    <w:rsid w:val="004232C2"/>
    <w:rsid w:val="00427FF1"/>
    <w:rsid w:val="00434E87"/>
    <w:rsid w:val="00442AAB"/>
    <w:rsid w:val="00444DEE"/>
    <w:rsid w:val="00445280"/>
    <w:rsid w:val="004516AD"/>
    <w:rsid w:val="00454821"/>
    <w:rsid w:val="00455841"/>
    <w:rsid w:val="00457D1F"/>
    <w:rsid w:val="00462D2B"/>
    <w:rsid w:val="004646C9"/>
    <w:rsid w:val="0047170D"/>
    <w:rsid w:val="00472359"/>
    <w:rsid w:val="004744EC"/>
    <w:rsid w:val="004800D5"/>
    <w:rsid w:val="00490575"/>
    <w:rsid w:val="00490F46"/>
    <w:rsid w:val="004910AA"/>
    <w:rsid w:val="00494DEE"/>
    <w:rsid w:val="004A4A8C"/>
    <w:rsid w:val="004A6E2F"/>
    <w:rsid w:val="004B3E05"/>
    <w:rsid w:val="004E0129"/>
    <w:rsid w:val="004F2A3C"/>
    <w:rsid w:val="00501D2C"/>
    <w:rsid w:val="00504D66"/>
    <w:rsid w:val="0051217E"/>
    <w:rsid w:val="0051267F"/>
    <w:rsid w:val="0052159F"/>
    <w:rsid w:val="00521A40"/>
    <w:rsid w:val="00526A6F"/>
    <w:rsid w:val="00527218"/>
    <w:rsid w:val="005275D6"/>
    <w:rsid w:val="00532338"/>
    <w:rsid w:val="00533E86"/>
    <w:rsid w:val="00534B88"/>
    <w:rsid w:val="0054187A"/>
    <w:rsid w:val="00541A2B"/>
    <w:rsid w:val="00541D68"/>
    <w:rsid w:val="00547273"/>
    <w:rsid w:val="00553F92"/>
    <w:rsid w:val="005624E5"/>
    <w:rsid w:val="0056574A"/>
    <w:rsid w:val="00565F96"/>
    <w:rsid w:val="0056634C"/>
    <w:rsid w:val="00581695"/>
    <w:rsid w:val="0058444B"/>
    <w:rsid w:val="005A2A19"/>
    <w:rsid w:val="005A30CD"/>
    <w:rsid w:val="005A31D6"/>
    <w:rsid w:val="005A4AAD"/>
    <w:rsid w:val="005A5624"/>
    <w:rsid w:val="005A649B"/>
    <w:rsid w:val="005B0818"/>
    <w:rsid w:val="005B0DD2"/>
    <w:rsid w:val="005B2206"/>
    <w:rsid w:val="005B4680"/>
    <w:rsid w:val="005B5AEE"/>
    <w:rsid w:val="005B758B"/>
    <w:rsid w:val="005C5746"/>
    <w:rsid w:val="005D0880"/>
    <w:rsid w:val="005D0E16"/>
    <w:rsid w:val="005D1960"/>
    <w:rsid w:val="005E1B65"/>
    <w:rsid w:val="005E4A93"/>
    <w:rsid w:val="005F0BC5"/>
    <w:rsid w:val="00600747"/>
    <w:rsid w:val="006049C2"/>
    <w:rsid w:val="0060609E"/>
    <w:rsid w:val="006128D5"/>
    <w:rsid w:val="00613280"/>
    <w:rsid w:val="00613C96"/>
    <w:rsid w:val="00614C31"/>
    <w:rsid w:val="0061524B"/>
    <w:rsid w:val="00620BDC"/>
    <w:rsid w:val="00632F0F"/>
    <w:rsid w:val="0064473D"/>
    <w:rsid w:val="00645A08"/>
    <w:rsid w:val="006466E7"/>
    <w:rsid w:val="006600DB"/>
    <w:rsid w:val="00660F12"/>
    <w:rsid w:val="00661AB4"/>
    <w:rsid w:val="00674A8B"/>
    <w:rsid w:val="00675FC9"/>
    <w:rsid w:val="00677ACB"/>
    <w:rsid w:val="0068020A"/>
    <w:rsid w:val="006828C4"/>
    <w:rsid w:val="006927E0"/>
    <w:rsid w:val="00695002"/>
    <w:rsid w:val="006A05F9"/>
    <w:rsid w:val="006A42D7"/>
    <w:rsid w:val="006A658D"/>
    <w:rsid w:val="006B44C5"/>
    <w:rsid w:val="006C1CEC"/>
    <w:rsid w:val="006C49EE"/>
    <w:rsid w:val="006D3890"/>
    <w:rsid w:val="006D4EA6"/>
    <w:rsid w:val="006D7B0C"/>
    <w:rsid w:val="006E293A"/>
    <w:rsid w:val="006E424A"/>
    <w:rsid w:val="006E681E"/>
    <w:rsid w:val="006E7916"/>
    <w:rsid w:val="006F0626"/>
    <w:rsid w:val="00701139"/>
    <w:rsid w:val="0070394F"/>
    <w:rsid w:val="00710940"/>
    <w:rsid w:val="007168DF"/>
    <w:rsid w:val="00717F4B"/>
    <w:rsid w:val="0072005F"/>
    <w:rsid w:val="00720450"/>
    <w:rsid w:val="00727946"/>
    <w:rsid w:val="00733119"/>
    <w:rsid w:val="00741ADD"/>
    <w:rsid w:val="00747182"/>
    <w:rsid w:val="00747EDA"/>
    <w:rsid w:val="00753AAC"/>
    <w:rsid w:val="007550E7"/>
    <w:rsid w:val="00762297"/>
    <w:rsid w:val="00762E9C"/>
    <w:rsid w:val="007646B7"/>
    <w:rsid w:val="00764A7B"/>
    <w:rsid w:val="00773EAF"/>
    <w:rsid w:val="00774B92"/>
    <w:rsid w:val="00785799"/>
    <w:rsid w:val="007912AD"/>
    <w:rsid w:val="00791D0E"/>
    <w:rsid w:val="00791D26"/>
    <w:rsid w:val="007A4F36"/>
    <w:rsid w:val="007A78AE"/>
    <w:rsid w:val="007B145E"/>
    <w:rsid w:val="007B6D19"/>
    <w:rsid w:val="007C47DC"/>
    <w:rsid w:val="007C52E5"/>
    <w:rsid w:val="007E0486"/>
    <w:rsid w:val="007E52C5"/>
    <w:rsid w:val="007E5BC0"/>
    <w:rsid w:val="007F0143"/>
    <w:rsid w:val="007F40C1"/>
    <w:rsid w:val="007F4569"/>
    <w:rsid w:val="007F61D9"/>
    <w:rsid w:val="00804E39"/>
    <w:rsid w:val="008128A0"/>
    <w:rsid w:val="0081425B"/>
    <w:rsid w:val="00824CD7"/>
    <w:rsid w:val="00827D1A"/>
    <w:rsid w:val="00831989"/>
    <w:rsid w:val="00832F6E"/>
    <w:rsid w:val="00835AC1"/>
    <w:rsid w:val="008402C5"/>
    <w:rsid w:val="008410F4"/>
    <w:rsid w:val="00846FA1"/>
    <w:rsid w:val="00847F62"/>
    <w:rsid w:val="0085476B"/>
    <w:rsid w:val="0085580A"/>
    <w:rsid w:val="00855C03"/>
    <w:rsid w:val="00856280"/>
    <w:rsid w:val="00860FA1"/>
    <w:rsid w:val="008672D8"/>
    <w:rsid w:val="00872B41"/>
    <w:rsid w:val="0087746E"/>
    <w:rsid w:val="00884D41"/>
    <w:rsid w:val="008852DC"/>
    <w:rsid w:val="00885C77"/>
    <w:rsid w:val="0089421B"/>
    <w:rsid w:val="00895680"/>
    <w:rsid w:val="008B0ED3"/>
    <w:rsid w:val="008B1BF6"/>
    <w:rsid w:val="008B395F"/>
    <w:rsid w:val="008B4D8B"/>
    <w:rsid w:val="008B7C92"/>
    <w:rsid w:val="008C3331"/>
    <w:rsid w:val="008C6105"/>
    <w:rsid w:val="008D335E"/>
    <w:rsid w:val="008D6A4D"/>
    <w:rsid w:val="008E0EEC"/>
    <w:rsid w:val="008E28E7"/>
    <w:rsid w:val="008E6374"/>
    <w:rsid w:val="008F344D"/>
    <w:rsid w:val="008F5328"/>
    <w:rsid w:val="008F5695"/>
    <w:rsid w:val="008F58AD"/>
    <w:rsid w:val="0090113A"/>
    <w:rsid w:val="00910BD7"/>
    <w:rsid w:val="00911788"/>
    <w:rsid w:val="00917E5E"/>
    <w:rsid w:val="00921E97"/>
    <w:rsid w:val="00923DCF"/>
    <w:rsid w:val="00924F43"/>
    <w:rsid w:val="009314FD"/>
    <w:rsid w:val="00934F28"/>
    <w:rsid w:val="00935022"/>
    <w:rsid w:val="009365A6"/>
    <w:rsid w:val="00941D83"/>
    <w:rsid w:val="00942365"/>
    <w:rsid w:val="00943616"/>
    <w:rsid w:val="009452F4"/>
    <w:rsid w:val="00947C3C"/>
    <w:rsid w:val="009518D1"/>
    <w:rsid w:val="00952116"/>
    <w:rsid w:val="0096081A"/>
    <w:rsid w:val="00966A25"/>
    <w:rsid w:val="0097322C"/>
    <w:rsid w:val="009743F5"/>
    <w:rsid w:val="0098032D"/>
    <w:rsid w:val="009814B6"/>
    <w:rsid w:val="00982061"/>
    <w:rsid w:val="009856D1"/>
    <w:rsid w:val="00985A21"/>
    <w:rsid w:val="00996522"/>
    <w:rsid w:val="009A2C18"/>
    <w:rsid w:val="009A5118"/>
    <w:rsid w:val="009B423B"/>
    <w:rsid w:val="009C3DC9"/>
    <w:rsid w:val="009D3570"/>
    <w:rsid w:val="009D4E04"/>
    <w:rsid w:val="009E001C"/>
    <w:rsid w:val="009E3A92"/>
    <w:rsid w:val="009E4FB0"/>
    <w:rsid w:val="009F6380"/>
    <w:rsid w:val="009F7585"/>
    <w:rsid w:val="009F7B7A"/>
    <w:rsid w:val="00A040DD"/>
    <w:rsid w:val="00A12472"/>
    <w:rsid w:val="00A13BC2"/>
    <w:rsid w:val="00A15219"/>
    <w:rsid w:val="00A15A8B"/>
    <w:rsid w:val="00A16A48"/>
    <w:rsid w:val="00A22097"/>
    <w:rsid w:val="00A23185"/>
    <w:rsid w:val="00A3684A"/>
    <w:rsid w:val="00A40BF0"/>
    <w:rsid w:val="00A4499F"/>
    <w:rsid w:val="00A47554"/>
    <w:rsid w:val="00A538EF"/>
    <w:rsid w:val="00A624A8"/>
    <w:rsid w:val="00A6333A"/>
    <w:rsid w:val="00A65A72"/>
    <w:rsid w:val="00A66BEA"/>
    <w:rsid w:val="00A74F9D"/>
    <w:rsid w:val="00A805A2"/>
    <w:rsid w:val="00A846FD"/>
    <w:rsid w:val="00A8699A"/>
    <w:rsid w:val="00A92702"/>
    <w:rsid w:val="00A92C70"/>
    <w:rsid w:val="00A93E1A"/>
    <w:rsid w:val="00A97CA5"/>
    <w:rsid w:val="00AA2D0D"/>
    <w:rsid w:val="00AA34F7"/>
    <w:rsid w:val="00AB2731"/>
    <w:rsid w:val="00AC216E"/>
    <w:rsid w:val="00AC2392"/>
    <w:rsid w:val="00AC68DA"/>
    <w:rsid w:val="00AD1411"/>
    <w:rsid w:val="00AD3FFA"/>
    <w:rsid w:val="00AD65B0"/>
    <w:rsid w:val="00AE4F21"/>
    <w:rsid w:val="00AF50D8"/>
    <w:rsid w:val="00AF5EC1"/>
    <w:rsid w:val="00B0412D"/>
    <w:rsid w:val="00B22B3E"/>
    <w:rsid w:val="00B246B2"/>
    <w:rsid w:val="00B31BA0"/>
    <w:rsid w:val="00B335BE"/>
    <w:rsid w:val="00B33B40"/>
    <w:rsid w:val="00B45D4C"/>
    <w:rsid w:val="00B45D5B"/>
    <w:rsid w:val="00B4651E"/>
    <w:rsid w:val="00B472AF"/>
    <w:rsid w:val="00B475C2"/>
    <w:rsid w:val="00B47CF7"/>
    <w:rsid w:val="00B47E7A"/>
    <w:rsid w:val="00B50327"/>
    <w:rsid w:val="00B530A2"/>
    <w:rsid w:val="00B54713"/>
    <w:rsid w:val="00B5711F"/>
    <w:rsid w:val="00B64E6E"/>
    <w:rsid w:val="00B667F8"/>
    <w:rsid w:val="00B717F6"/>
    <w:rsid w:val="00B804A9"/>
    <w:rsid w:val="00B86EC3"/>
    <w:rsid w:val="00B92CA6"/>
    <w:rsid w:val="00B92CC4"/>
    <w:rsid w:val="00B94B77"/>
    <w:rsid w:val="00B95DF5"/>
    <w:rsid w:val="00BA0F69"/>
    <w:rsid w:val="00BA42A2"/>
    <w:rsid w:val="00BA5A02"/>
    <w:rsid w:val="00BA7BFD"/>
    <w:rsid w:val="00BB0B70"/>
    <w:rsid w:val="00BC2DA1"/>
    <w:rsid w:val="00BC5C7E"/>
    <w:rsid w:val="00BC78F8"/>
    <w:rsid w:val="00BD23A1"/>
    <w:rsid w:val="00BE18DC"/>
    <w:rsid w:val="00BE20A4"/>
    <w:rsid w:val="00BE5EA6"/>
    <w:rsid w:val="00BE6F53"/>
    <w:rsid w:val="00BF09FA"/>
    <w:rsid w:val="00C019E8"/>
    <w:rsid w:val="00C061C7"/>
    <w:rsid w:val="00C06827"/>
    <w:rsid w:val="00C163B2"/>
    <w:rsid w:val="00C2067E"/>
    <w:rsid w:val="00C21519"/>
    <w:rsid w:val="00C21D09"/>
    <w:rsid w:val="00C23FFE"/>
    <w:rsid w:val="00C34AE7"/>
    <w:rsid w:val="00C36C5D"/>
    <w:rsid w:val="00C379DD"/>
    <w:rsid w:val="00C37EA3"/>
    <w:rsid w:val="00C42727"/>
    <w:rsid w:val="00C47A86"/>
    <w:rsid w:val="00C5067C"/>
    <w:rsid w:val="00C606B1"/>
    <w:rsid w:val="00C612E2"/>
    <w:rsid w:val="00C62B99"/>
    <w:rsid w:val="00C63F5E"/>
    <w:rsid w:val="00C656ED"/>
    <w:rsid w:val="00C70C53"/>
    <w:rsid w:val="00C71BF7"/>
    <w:rsid w:val="00C85DCB"/>
    <w:rsid w:val="00C90045"/>
    <w:rsid w:val="00C956FC"/>
    <w:rsid w:val="00C95B6A"/>
    <w:rsid w:val="00C95B7A"/>
    <w:rsid w:val="00C96527"/>
    <w:rsid w:val="00CA5AB4"/>
    <w:rsid w:val="00CB6315"/>
    <w:rsid w:val="00CC4F6F"/>
    <w:rsid w:val="00CC5E18"/>
    <w:rsid w:val="00CD5124"/>
    <w:rsid w:val="00CD5A50"/>
    <w:rsid w:val="00CD7120"/>
    <w:rsid w:val="00CE04AE"/>
    <w:rsid w:val="00CE1069"/>
    <w:rsid w:val="00CE1A64"/>
    <w:rsid w:val="00CE53D2"/>
    <w:rsid w:val="00CF3840"/>
    <w:rsid w:val="00CF48DD"/>
    <w:rsid w:val="00CF7EA6"/>
    <w:rsid w:val="00D02FE6"/>
    <w:rsid w:val="00D059F1"/>
    <w:rsid w:val="00D1109A"/>
    <w:rsid w:val="00D1709B"/>
    <w:rsid w:val="00D21567"/>
    <w:rsid w:val="00D3061A"/>
    <w:rsid w:val="00D31A82"/>
    <w:rsid w:val="00D423EA"/>
    <w:rsid w:val="00D42842"/>
    <w:rsid w:val="00D4500E"/>
    <w:rsid w:val="00D460BB"/>
    <w:rsid w:val="00D65CD0"/>
    <w:rsid w:val="00D70F7F"/>
    <w:rsid w:val="00D75551"/>
    <w:rsid w:val="00D80304"/>
    <w:rsid w:val="00D84E4E"/>
    <w:rsid w:val="00D86070"/>
    <w:rsid w:val="00D87884"/>
    <w:rsid w:val="00D91BA0"/>
    <w:rsid w:val="00DA519B"/>
    <w:rsid w:val="00DA72A2"/>
    <w:rsid w:val="00DA780A"/>
    <w:rsid w:val="00DA7D58"/>
    <w:rsid w:val="00DB2372"/>
    <w:rsid w:val="00DB4CC9"/>
    <w:rsid w:val="00DC37C8"/>
    <w:rsid w:val="00DC4623"/>
    <w:rsid w:val="00DC4F48"/>
    <w:rsid w:val="00DC53F3"/>
    <w:rsid w:val="00DD1773"/>
    <w:rsid w:val="00DD2AA7"/>
    <w:rsid w:val="00DD48F1"/>
    <w:rsid w:val="00DD4F8A"/>
    <w:rsid w:val="00DE0D12"/>
    <w:rsid w:val="00DE3F2E"/>
    <w:rsid w:val="00DF7B0F"/>
    <w:rsid w:val="00DF7CB1"/>
    <w:rsid w:val="00E01135"/>
    <w:rsid w:val="00E0161F"/>
    <w:rsid w:val="00E032E3"/>
    <w:rsid w:val="00E04FF8"/>
    <w:rsid w:val="00E0723D"/>
    <w:rsid w:val="00E11BF5"/>
    <w:rsid w:val="00E1347A"/>
    <w:rsid w:val="00E14FBF"/>
    <w:rsid w:val="00E21C63"/>
    <w:rsid w:val="00E36E95"/>
    <w:rsid w:val="00E45EA8"/>
    <w:rsid w:val="00E517CF"/>
    <w:rsid w:val="00E56E1D"/>
    <w:rsid w:val="00E63448"/>
    <w:rsid w:val="00E70EE5"/>
    <w:rsid w:val="00E71AE5"/>
    <w:rsid w:val="00E7256E"/>
    <w:rsid w:val="00E73350"/>
    <w:rsid w:val="00E73B33"/>
    <w:rsid w:val="00E755DA"/>
    <w:rsid w:val="00E85361"/>
    <w:rsid w:val="00E918E8"/>
    <w:rsid w:val="00E9207A"/>
    <w:rsid w:val="00E92B52"/>
    <w:rsid w:val="00EA5477"/>
    <w:rsid w:val="00ED0795"/>
    <w:rsid w:val="00ED11D1"/>
    <w:rsid w:val="00EE2A90"/>
    <w:rsid w:val="00EE6E11"/>
    <w:rsid w:val="00EF3DB3"/>
    <w:rsid w:val="00EF4437"/>
    <w:rsid w:val="00EF4F34"/>
    <w:rsid w:val="00F014BA"/>
    <w:rsid w:val="00F10B13"/>
    <w:rsid w:val="00F134D2"/>
    <w:rsid w:val="00F154F0"/>
    <w:rsid w:val="00F16FE1"/>
    <w:rsid w:val="00F20FC2"/>
    <w:rsid w:val="00F25E4B"/>
    <w:rsid w:val="00F306F8"/>
    <w:rsid w:val="00F35CE9"/>
    <w:rsid w:val="00F4119B"/>
    <w:rsid w:val="00F45750"/>
    <w:rsid w:val="00F530AD"/>
    <w:rsid w:val="00F546B7"/>
    <w:rsid w:val="00F60C71"/>
    <w:rsid w:val="00F66216"/>
    <w:rsid w:val="00F6697A"/>
    <w:rsid w:val="00F66D65"/>
    <w:rsid w:val="00F76363"/>
    <w:rsid w:val="00F80A0E"/>
    <w:rsid w:val="00F83B6F"/>
    <w:rsid w:val="00F850B7"/>
    <w:rsid w:val="00FA1712"/>
    <w:rsid w:val="00FA1D0E"/>
    <w:rsid w:val="00FA5BCC"/>
    <w:rsid w:val="00FA7A1F"/>
    <w:rsid w:val="00FB0CFF"/>
    <w:rsid w:val="00FC166D"/>
    <w:rsid w:val="00FD1AD6"/>
    <w:rsid w:val="00FD5730"/>
    <w:rsid w:val="00FE0BF7"/>
    <w:rsid w:val="00FE3E89"/>
    <w:rsid w:val="00FF1277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31"/>
  </w:style>
  <w:style w:type="paragraph" w:styleId="Heading3">
    <w:name w:val="heading 3"/>
    <w:basedOn w:val="Normal"/>
    <w:link w:val="Heading3Char"/>
    <w:uiPriority w:val="9"/>
    <w:qFormat/>
    <w:rsid w:val="002019E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19E5"/>
    <w:rPr>
      <w:rFonts w:eastAsia="Times New Roman" w:cs="Times New Roman"/>
      <w:b/>
      <w:bCs/>
      <w:sz w:val="27"/>
      <w:szCs w:val="27"/>
      <w:lang w:eastAsia="vi-VN" w:bidi="lo-LA"/>
    </w:rPr>
  </w:style>
  <w:style w:type="paragraph" w:styleId="ListParagraph">
    <w:name w:val="List Paragraph"/>
    <w:basedOn w:val="Normal"/>
    <w:uiPriority w:val="34"/>
    <w:qFormat/>
    <w:rsid w:val="00BE1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1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550E7"/>
  </w:style>
  <w:style w:type="character" w:styleId="Emphasis">
    <w:name w:val="Emphasis"/>
    <w:basedOn w:val="DefaultParagraphFont"/>
    <w:uiPriority w:val="20"/>
    <w:qFormat/>
    <w:rsid w:val="007550E7"/>
    <w:rPr>
      <w:i/>
      <w:iCs/>
    </w:rPr>
  </w:style>
  <w:style w:type="table" w:styleId="TableGrid">
    <w:name w:val="Table Grid"/>
    <w:basedOn w:val="TableNormal"/>
    <w:uiPriority w:val="59"/>
    <w:rsid w:val="00F0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E04"/>
  </w:style>
  <w:style w:type="paragraph" w:styleId="Footer">
    <w:name w:val="footer"/>
    <w:basedOn w:val="Normal"/>
    <w:link w:val="FooterChar"/>
    <w:uiPriority w:val="99"/>
    <w:unhideWhenUsed/>
    <w:rsid w:val="009D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04"/>
  </w:style>
  <w:style w:type="paragraph" w:styleId="FootnoteText">
    <w:name w:val="footnote text"/>
    <w:basedOn w:val="Normal"/>
    <w:link w:val="FootnoteTextChar"/>
    <w:uiPriority w:val="99"/>
    <w:semiHidden/>
    <w:unhideWhenUsed/>
    <w:rsid w:val="009D4E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E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0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21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19E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vi-V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1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550E7"/>
  </w:style>
  <w:style w:type="character" w:styleId="Emphasis">
    <w:name w:val="Emphasis"/>
    <w:basedOn w:val="DefaultParagraphFont"/>
    <w:uiPriority w:val="20"/>
    <w:qFormat/>
    <w:rsid w:val="007550E7"/>
    <w:rPr>
      <w:i/>
      <w:iCs/>
    </w:rPr>
  </w:style>
  <w:style w:type="table" w:styleId="TableGrid">
    <w:name w:val="Table Grid"/>
    <w:basedOn w:val="TableNormal"/>
    <w:uiPriority w:val="59"/>
    <w:rsid w:val="00F0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019E5"/>
    <w:rPr>
      <w:rFonts w:eastAsia="Times New Roman" w:cs="Times New Roman"/>
      <w:b/>
      <w:bCs/>
      <w:sz w:val="27"/>
      <w:szCs w:val="27"/>
      <w:lang w:eastAsia="vi-VN" w:bidi="lo-LA"/>
    </w:rPr>
  </w:style>
  <w:style w:type="paragraph" w:styleId="Header">
    <w:name w:val="header"/>
    <w:basedOn w:val="Normal"/>
    <w:link w:val="HeaderChar"/>
    <w:uiPriority w:val="99"/>
    <w:semiHidden/>
    <w:unhideWhenUsed/>
    <w:rsid w:val="009D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E04"/>
  </w:style>
  <w:style w:type="paragraph" w:styleId="Footer">
    <w:name w:val="footer"/>
    <w:basedOn w:val="Normal"/>
    <w:link w:val="FooterChar"/>
    <w:uiPriority w:val="99"/>
    <w:unhideWhenUsed/>
    <w:rsid w:val="009D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04"/>
  </w:style>
  <w:style w:type="paragraph" w:styleId="FootnoteText">
    <w:name w:val="footnote text"/>
    <w:basedOn w:val="Normal"/>
    <w:link w:val="FootnoteTextChar"/>
    <w:uiPriority w:val="99"/>
    <w:semiHidden/>
    <w:unhideWhenUsed/>
    <w:rsid w:val="009D4E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E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0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21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.vn/url?sa=t&amp;rct=j&amp;q=&amp;esrc=s&amp;source=web&amp;cd=5&amp;cad=rja&amp;uact=8&amp;ved=0ahUKEwjjj9eXitvTAhVDUZQKHcl6Dw8QFgg2MAQ&amp;url=http%3A%2F%2Fwww.scirp.org%2F(S(351jmbntvnsjt1aadkposzje))%2Freference%2FReferencesPapers.aspx%3FReferenceID%3D1077854&amp;usg=AFQjCNGEzDqFkqzphjN3Vm8HzMQTdqP9Tw&amp;sig2=x-BSbDtEk7E3FrCQBGjM2Q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01FB-A78B-4EBD-8B07-4B9CD5A2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VLHN</cp:lastModifiedBy>
  <cp:revision>2</cp:revision>
  <cp:lastPrinted>2017-06-05T09:06:00Z</cp:lastPrinted>
  <dcterms:created xsi:type="dcterms:W3CDTF">2017-09-19T02:45:00Z</dcterms:created>
  <dcterms:modified xsi:type="dcterms:W3CDTF">2017-09-19T02:45:00Z</dcterms:modified>
</cp:coreProperties>
</file>